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ED" w:rsidRDefault="000E7BB7">
      <w:pPr>
        <w:pStyle w:val="Heading2"/>
        <w:keepNext w:val="0"/>
        <w:keepLines w:val="0"/>
        <w:widowControl w:val="0"/>
        <w:spacing w:before="1920" w:after="120"/>
        <w:ind w:left="198"/>
        <w:rPr>
          <w:rFonts w:cs="Arial"/>
          <w:noProof/>
          <w:lang w:eastAsia="en-AU"/>
        </w:rPr>
      </w:pPr>
      <w:r>
        <w:rPr>
          <w:rFonts w:cs="Arial"/>
          <w:bCs w:val="0"/>
          <w:noProof/>
          <w:color w:val="F79646" w:themeColor="accent6"/>
          <w:lang w:eastAsia="en-AU"/>
        </w:rPr>
        <w:drawing>
          <wp:anchor distT="0" distB="0" distL="114300" distR="114300" simplePos="0" relativeHeight="251657728" behindDoc="1" locked="0" layoutInCell="1" allowOverlap="1">
            <wp:simplePos x="0" y="0"/>
            <wp:positionH relativeFrom="margin">
              <wp:posOffset>-608965</wp:posOffset>
            </wp:positionH>
            <wp:positionV relativeFrom="margin">
              <wp:posOffset>-831850</wp:posOffset>
            </wp:positionV>
            <wp:extent cx="7075805" cy="2865755"/>
            <wp:effectExtent l="19050" t="0" r="0" b="0"/>
            <wp:wrapNone/>
            <wp:docPr id="32" name="Picture 2" descr="Australian Government&#10;Department of Agriculture, Fisheries and Forestry&#10;Australian Bureau of Agricultural and Resource Economic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Government&#10;Department of Agriculture, Fisheries and Forestry&#10;Australian Bureau of Agricultural and Resource Economics and Sciences"/>
                    <pic:cNvPicPr>
                      <a:picLocks noChangeAspect="1" noChangeArrowheads="1"/>
                    </pic:cNvPicPr>
                  </pic:nvPicPr>
                  <pic:blipFill>
                    <a:blip r:embed="rId8" cstate="print"/>
                    <a:srcRect/>
                    <a:stretch>
                      <a:fillRect/>
                    </a:stretch>
                  </pic:blipFill>
                  <pic:spPr bwMode="auto">
                    <a:xfrm>
                      <a:off x="0" y="0"/>
                      <a:ext cx="7075805" cy="2865755"/>
                    </a:xfrm>
                    <a:prstGeom prst="rect">
                      <a:avLst/>
                    </a:prstGeom>
                    <a:noFill/>
                    <a:ln w="9525">
                      <a:noFill/>
                      <a:miter lim="800000"/>
                      <a:headEnd/>
                      <a:tailEnd/>
                    </a:ln>
                  </pic:spPr>
                </pic:pic>
              </a:graphicData>
            </a:graphic>
          </wp:anchor>
        </w:drawing>
      </w:r>
      <w:r w:rsidR="00B40E65">
        <w:rPr>
          <w:rFonts w:cs="Arial"/>
          <w:noProof/>
          <w:lang w:eastAsia="en-AU"/>
        </w:rPr>
        <w:t>25</w:t>
      </w:r>
      <w:r>
        <w:rPr>
          <w:rFonts w:cs="Arial"/>
          <w:noProof/>
          <w:lang w:eastAsia="en-AU"/>
        </w:rPr>
        <w:t xml:space="preserve"> October 2012</w:t>
      </w:r>
    </w:p>
    <w:p w:rsidR="00D147ED" w:rsidRDefault="000E7BB7">
      <w:pPr>
        <w:ind w:left="196"/>
        <w:rPr>
          <w:rFonts w:ascii="Calibri" w:hAnsi="Calibri" w:cs="Arial"/>
          <w:sz w:val="22"/>
          <w:szCs w:val="22"/>
        </w:rPr>
      </w:pPr>
      <w:r>
        <w:rPr>
          <w:rFonts w:ascii="Calibri" w:hAnsi="Calibri" w:cs="Arial"/>
          <w:sz w:val="22"/>
          <w:szCs w:val="22"/>
        </w:rPr>
        <w:t xml:space="preserve">The full report is available from </w:t>
      </w:r>
      <w:hyperlink r:id="rId9" w:history="1">
        <w:r>
          <w:rPr>
            <w:rStyle w:val="Hyperlink"/>
            <w:rFonts w:ascii="Calibri" w:hAnsi="Calibri" w:cs="Arial"/>
            <w:b/>
            <w:sz w:val="22"/>
            <w:szCs w:val="22"/>
          </w:rPr>
          <w:t>www.daff.gov.au/abares</w:t>
        </w:r>
      </w:hyperlink>
    </w:p>
    <w:p w:rsidR="00D147ED" w:rsidRDefault="000E7BB7">
      <w:pPr>
        <w:pStyle w:val="Heading1"/>
        <w:keepNext w:val="0"/>
        <w:keepLines w:val="0"/>
        <w:pageBreakBefore w:val="0"/>
        <w:widowControl w:val="0"/>
        <w:numPr>
          <w:ilvl w:val="0"/>
          <w:numId w:val="0"/>
        </w:numPr>
        <w:spacing w:before="200" w:after="120"/>
        <w:ind w:left="196" w:firstLine="14"/>
        <w:rPr>
          <w:color w:val="auto"/>
        </w:rPr>
      </w:pPr>
      <w:r>
        <w:rPr>
          <w:color w:val="auto"/>
        </w:rPr>
        <w:t>Summary of key issues</w:t>
      </w:r>
    </w:p>
    <w:p w:rsidR="00D147ED" w:rsidRPr="00B40E65" w:rsidRDefault="00F65728">
      <w:pPr>
        <w:pStyle w:val="ListBullet"/>
        <w:numPr>
          <w:ilvl w:val="0"/>
          <w:numId w:val="2"/>
        </w:numPr>
        <w:spacing w:before="80" w:after="120"/>
        <w:ind w:left="227" w:hanging="369"/>
        <w:rPr>
          <w:rFonts w:asciiTheme="minorHAnsi" w:hAnsiTheme="minorHAnsi" w:cstheme="minorHAnsi"/>
          <w:bCs/>
          <w:color w:val="4F81BD" w:themeColor="accent1"/>
          <w:sz w:val="24"/>
          <w:lang w:eastAsia="en-US"/>
        </w:rPr>
      </w:pPr>
      <w:r>
        <w:rPr>
          <w:rFonts w:asciiTheme="minorHAnsi" w:hAnsiTheme="minorHAnsi" w:cstheme="minorHAnsi"/>
          <w:sz w:val="24"/>
          <w:lang w:eastAsia="en-US"/>
        </w:rPr>
        <w:t xml:space="preserve">The </w:t>
      </w:r>
      <w:r w:rsidRPr="00F65728">
        <w:rPr>
          <w:rFonts w:asciiTheme="minorHAnsi" w:hAnsiTheme="minorHAnsi" w:cstheme="minorHAnsi"/>
          <w:sz w:val="24"/>
          <w:lang w:eastAsia="en-US"/>
        </w:rPr>
        <w:t>Bureau of Meteorology predicts a warmer summer with average to above-average rainfall across most of Australia</w:t>
      </w:r>
      <w:r w:rsidR="00EA207E" w:rsidRPr="00F65728">
        <w:rPr>
          <w:rFonts w:asciiTheme="minorHAnsi" w:hAnsiTheme="minorHAnsi" w:cstheme="minorHAnsi"/>
          <w:bCs/>
          <w:sz w:val="24"/>
          <w:lang w:eastAsia="en-US"/>
        </w:rPr>
        <w:t>.</w:t>
      </w:r>
      <w:r w:rsidR="00780AC0">
        <w:rPr>
          <w:rFonts w:asciiTheme="minorHAnsi" w:hAnsiTheme="minorHAnsi" w:cstheme="minorHAnsi"/>
          <w:bCs/>
          <w:sz w:val="24"/>
          <w:lang w:eastAsia="en-US"/>
        </w:rPr>
        <w:t xml:space="preserve"> A</w:t>
      </w:r>
      <w:r w:rsidR="00524F6E">
        <w:rPr>
          <w:rFonts w:asciiTheme="minorHAnsi" w:hAnsiTheme="minorHAnsi" w:cstheme="minorHAnsi"/>
          <w:bCs/>
          <w:sz w:val="24"/>
          <w:lang w:eastAsia="en-US"/>
        </w:rPr>
        <w:t xml:space="preserve">n </w:t>
      </w:r>
      <w:r>
        <w:rPr>
          <w:rFonts w:asciiTheme="minorHAnsi" w:hAnsiTheme="minorHAnsi" w:cstheme="minorHAnsi"/>
          <w:bCs/>
          <w:sz w:val="24"/>
          <w:lang w:eastAsia="en-US"/>
        </w:rPr>
        <w:t xml:space="preserve">El </w:t>
      </w:r>
      <w:r w:rsidRPr="00F65728">
        <w:rPr>
          <w:rFonts w:asciiTheme="minorHAnsi" w:hAnsiTheme="minorHAnsi" w:cstheme="minorHAnsi"/>
          <w:bCs/>
          <w:sz w:val="24"/>
          <w:lang w:eastAsia="en-US"/>
        </w:rPr>
        <w:t>Ni</w:t>
      </w:r>
      <w:r w:rsidRPr="00F65728">
        <w:rPr>
          <w:rFonts w:asciiTheme="minorHAnsi" w:hAnsiTheme="minorHAnsi" w:cstheme="minorHAnsi"/>
          <w:sz w:val="24"/>
          <w:lang w:eastAsia="en-US"/>
        </w:rPr>
        <w:t>ñ</w:t>
      </w:r>
      <w:r>
        <w:rPr>
          <w:rFonts w:asciiTheme="minorHAnsi" w:hAnsiTheme="minorHAnsi" w:cstheme="minorHAnsi"/>
          <w:bCs/>
          <w:sz w:val="24"/>
          <w:lang w:eastAsia="en-US"/>
        </w:rPr>
        <w:t xml:space="preserve">o event </w:t>
      </w:r>
      <w:r w:rsidR="00524F6E">
        <w:rPr>
          <w:rFonts w:asciiTheme="minorHAnsi" w:hAnsiTheme="minorHAnsi" w:cstheme="minorHAnsi"/>
          <w:bCs/>
          <w:sz w:val="24"/>
          <w:lang w:eastAsia="en-US"/>
        </w:rPr>
        <w:t xml:space="preserve">this summer </w:t>
      </w:r>
      <w:r>
        <w:rPr>
          <w:rFonts w:asciiTheme="minorHAnsi" w:hAnsiTheme="minorHAnsi" w:cstheme="minorHAnsi"/>
          <w:bCs/>
          <w:sz w:val="24"/>
          <w:lang w:eastAsia="en-US"/>
        </w:rPr>
        <w:t>is unlikely.</w:t>
      </w:r>
    </w:p>
    <w:p w:rsidR="00F65728" w:rsidRPr="00F65728" w:rsidRDefault="00F65728">
      <w:pPr>
        <w:pStyle w:val="ListBullet"/>
        <w:numPr>
          <w:ilvl w:val="0"/>
          <w:numId w:val="2"/>
        </w:numPr>
        <w:spacing w:before="80"/>
        <w:ind w:left="224" w:hanging="366"/>
        <w:rPr>
          <w:rFonts w:ascii="Calibri" w:hAnsi="Calibri" w:cs="Arial"/>
          <w:color w:val="4F81BD" w:themeColor="accent1"/>
          <w:sz w:val="24"/>
          <w:lang w:eastAsia="en-US"/>
        </w:rPr>
      </w:pPr>
      <w:r w:rsidRPr="00F65728">
        <w:rPr>
          <w:rFonts w:asciiTheme="minorHAnsi" w:hAnsiTheme="minorHAnsi" w:cstheme="minorHAnsi"/>
          <w:sz w:val="24"/>
          <w:lang w:eastAsia="en-US"/>
        </w:rPr>
        <w:t xml:space="preserve">Lightning strikes have ignited hundreds of fires in central Australia, northern Queensland and far west New </w:t>
      </w:r>
      <w:r w:rsidR="00E13C25">
        <w:rPr>
          <w:rFonts w:asciiTheme="minorHAnsi" w:hAnsiTheme="minorHAnsi" w:cstheme="minorHAnsi"/>
          <w:sz w:val="24"/>
          <w:lang w:eastAsia="en-US"/>
        </w:rPr>
        <w:t>South Wales, burning</w:t>
      </w:r>
      <w:r w:rsidRPr="00F65728">
        <w:rPr>
          <w:rFonts w:asciiTheme="minorHAnsi" w:hAnsiTheme="minorHAnsi" w:cstheme="minorHAnsi"/>
          <w:sz w:val="24"/>
          <w:lang w:eastAsia="en-US"/>
        </w:rPr>
        <w:t xml:space="preserve"> thousands of hectares of grazing land.</w:t>
      </w:r>
    </w:p>
    <w:p w:rsidR="00D147ED" w:rsidRPr="00B40E65" w:rsidRDefault="000E7BB7">
      <w:pPr>
        <w:pStyle w:val="ListBullet"/>
        <w:numPr>
          <w:ilvl w:val="0"/>
          <w:numId w:val="2"/>
        </w:numPr>
        <w:spacing w:before="80"/>
        <w:ind w:left="224" w:hanging="366"/>
        <w:rPr>
          <w:rFonts w:ascii="Calibri" w:hAnsi="Calibri" w:cs="Arial"/>
          <w:color w:val="4F81BD" w:themeColor="accent1"/>
          <w:sz w:val="24"/>
          <w:szCs w:val="20"/>
          <w:lang w:eastAsia="en-US"/>
        </w:rPr>
      </w:pPr>
      <w:r w:rsidRPr="00F65728">
        <w:rPr>
          <w:rFonts w:asciiTheme="minorHAnsi" w:hAnsiTheme="minorHAnsi" w:cstheme="minorHAnsi"/>
          <w:bCs/>
          <w:sz w:val="24"/>
          <w:lang w:eastAsia="en-US"/>
        </w:rPr>
        <w:t xml:space="preserve">Water storage </w:t>
      </w:r>
      <w:r w:rsidRPr="00780AC0">
        <w:rPr>
          <w:rFonts w:asciiTheme="minorHAnsi" w:hAnsiTheme="minorHAnsi" w:cstheme="minorHAnsi"/>
          <w:bCs/>
          <w:sz w:val="24"/>
          <w:lang w:eastAsia="en-US"/>
        </w:rPr>
        <w:t>levels in the Murray–Darling Basin</w:t>
      </w:r>
      <w:r w:rsidR="00780AC0" w:rsidRPr="00780AC0">
        <w:rPr>
          <w:rFonts w:asciiTheme="minorHAnsi" w:hAnsiTheme="minorHAnsi" w:cstheme="minorHAnsi"/>
          <w:bCs/>
          <w:sz w:val="24"/>
          <w:lang w:eastAsia="en-US"/>
        </w:rPr>
        <w:t xml:space="preserve"> de</w:t>
      </w:r>
      <w:r w:rsidRPr="00780AC0">
        <w:rPr>
          <w:rFonts w:asciiTheme="minorHAnsi" w:hAnsiTheme="minorHAnsi" w:cstheme="minorHAnsi"/>
          <w:bCs/>
          <w:sz w:val="24"/>
          <w:lang w:eastAsia="en-US"/>
        </w:rPr>
        <w:t>creased by</w:t>
      </w:r>
      <w:r w:rsidR="00780AC0" w:rsidRPr="00780AC0">
        <w:rPr>
          <w:rFonts w:asciiTheme="minorHAnsi" w:hAnsiTheme="minorHAnsi" w:cstheme="minorHAnsi"/>
          <w:bCs/>
          <w:sz w:val="24"/>
          <w:lang w:eastAsia="en-US"/>
        </w:rPr>
        <w:t xml:space="preserve"> 144</w:t>
      </w:r>
      <w:r w:rsidRPr="00780AC0">
        <w:rPr>
          <w:rFonts w:asciiTheme="minorHAnsi" w:hAnsiTheme="minorHAnsi" w:cstheme="minorHAnsi"/>
          <w:bCs/>
          <w:sz w:val="24"/>
          <w:lang w:eastAsia="en-US"/>
        </w:rPr>
        <w:t> </w:t>
      </w:r>
      <w:proofErr w:type="spellStart"/>
      <w:r w:rsidRPr="00780AC0">
        <w:rPr>
          <w:rFonts w:asciiTheme="minorHAnsi" w:hAnsiTheme="minorHAnsi" w:cstheme="minorHAnsi"/>
          <w:bCs/>
          <w:sz w:val="24"/>
          <w:lang w:eastAsia="en-US"/>
        </w:rPr>
        <w:t>gigalitres</w:t>
      </w:r>
      <w:proofErr w:type="spellEnd"/>
      <w:r w:rsidRPr="00780AC0">
        <w:rPr>
          <w:rFonts w:asciiTheme="minorHAnsi" w:hAnsiTheme="minorHAnsi" w:cstheme="minorHAnsi"/>
          <w:bCs/>
          <w:sz w:val="24"/>
          <w:lang w:eastAsia="en-US"/>
        </w:rPr>
        <w:t xml:space="preserve"> this week and </w:t>
      </w:r>
      <w:r w:rsidRPr="00780AC0">
        <w:rPr>
          <w:rFonts w:ascii="Calibri" w:hAnsi="Calibri" w:cs="Arial"/>
          <w:sz w:val="24"/>
          <w:szCs w:val="20"/>
          <w:lang w:eastAsia="en-US"/>
        </w:rPr>
        <w:t>are at 97 per cent of total capacity.</w:t>
      </w:r>
    </w:p>
    <w:p w:rsidR="00D147ED" w:rsidRPr="00780AC0" w:rsidRDefault="000E7BB7">
      <w:pPr>
        <w:pStyle w:val="ListBullet"/>
        <w:numPr>
          <w:ilvl w:val="0"/>
          <w:numId w:val="2"/>
        </w:numPr>
        <w:spacing w:before="80"/>
        <w:ind w:left="224" w:hanging="366"/>
        <w:rPr>
          <w:rFonts w:asciiTheme="minorHAnsi" w:hAnsiTheme="minorHAnsi" w:cstheme="minorHAnsi"/>
          <w:sz w:val="24"/>
          <w:lang w:eastAsia="en-US"/>
        </w:rPr>
      </w:pPr>
      <w:r w:rsidRPr="00780AC0">
        <w:rPr>
          <w:rFonts w:asciiTheme="minorHAnsi" w:hAnsiTheme="minorHAnsi" w:cstheme="minorHAnsi"/>
          <w:sz w:val="24"/>
          <w:lang w:eastAsia="en-US"/>
        </w:rPr>
        <w:t xml:space="preserve">The </w:t>
      </w:r>
      <w:r w:rsidRPr="00780AC0">
        <w:rPr>
          <w:rFonts w:asciiTheme="minorHAnsi" w:hAnsiTheme="minorHAnsi" w:cstheme="minorHAnsi"/>
          <w:sz w:val="24"/>
        </w:rPr>
        <w:t>world wheat indicator price (US No. 2 hard red winter, free on b</w:t>
      </w:r>
      <w:r w:rsidR="00780AC0" w:rsidRPr="00780AC0">
        <w:rPr>
          <w:rFonts w:asciiTheme="minorHAnsi" w:hAnsiTheme="minorHAnsi" w:cstheme="minorHAnsi"/>
          <w:sz w:val="24"/>
        </w:rPr>
        <w:t>oard Gulf ports) averaged US$377</w:t>
      </w:r>
      <w:r w:rsidRPr="00780AC0">
        <w:rPr>
          <w:rFonts w:asciiTheme="minorHAnsi" w:hAnsiTheme="minorHAnsi" w:cstheme="minorHAnsi"/>
          <w:sz w:val="24"/>
        </w:rPr>
        <w:t xml:space="preserve"> a tonne in the week ending </w:t>
      </w:r>
      <w:r w:rsidR="00780AC0" w:rsidRPr="00780AC0">
        <w:rPr>
          <w:rFonts w:asciiTheme="minorHAnsi" w:hAnsiTheme="minorHAnsi" w:cstheme="minorHAnsi"/>
          <w:sz w:val="24"/>
        </w:rPr>
        <w:t>23</w:t>
      </w:r>
      <w:r w:rsidRPr="00780AC0">
        <w:rPr>
          <w:rFonts w:asciiTheme="minorHAnsi" w:hAnsiTheme="minorHAnsi" w:cstheme="minorHAnsi"/>
          <w:sz w:val="24"/>
        </w:rPr>
        <w:t xml:space="preserve"> October 2012, compared with US$3</w:t>
      </w:r>
      <w:r w:rsidR="00780AC0" w:rsidRPr="00780AC0">
        <w:rPr>
          <w:rFonts w:asciiTheme="minorHAnsi" w:hAnsiTheme="minorHAnsi" w:cstheme="minorHAnsi"/>
          <w:sz w:val="24"/>
        </w:rPr>
        <w:t>73</w:t>
      </w:r>
      <w:r w:rsidRPr="00780AC0">
        <w:rPr>
          <w:rFonts w:asciiTheme="minorHAnsi" w:hAnsiTheme="minorHAnsi" w:cstheme="minorHAnsi"/>
          <w:sz w:val="24"/>
        </w:rPr>
        <w:t xml:space="preserve"> a tonne in the previous</w:t>
      </w:r>
      <w:r w:rsidRPr="00780AC0">
        <w:rPr>
          <w:rFonts w:asciiTheme="minorHAnsi" w:hAnsiTheme="minorHAnsi" w:cstheme="minorHAnsi"/>
          <w:sz w:val="24"/>
          <w:lang w:eastAsia="en-US"/>
        </w:rPr>
        <w:t xml:space="preserve"> week.</w:t>
      </w:r>
    </w:p>
    <w:p w:rsidR="00D147ED" w:rsidRPr="00780AC0" w:rsidRDefault="000E7BB7">
      <w:pPr>
        <w:pStyle w:val="ListBullet"/>
        <w:numPr>
          <w:ilvl w:val="0"/>
          <w:numId w:val="2"/>
        </w:numPr>
        <w:spacing w:before="80"/>
        <w:ind w:left="224" w:hanging="366"/>
        <w:rPr>
          <w:rFonts w:asciiTheme="minorHAnsi" w:hAnsiTheme="minorHAnsi" w:cstheme="minorHAnsi"/>
          <w:sz w:val="24"/>
          <w:lang w:eastAsia="en-US"/>
        </w:rPr>
      </w:pPr>
      <w:r w:rsidRPr="00780AC0">
        <w:rPr>
          <w:rFonts w:asciiTheme="minorHAnsi" w:hAnsiTheme="minorHAnsi" w:cstheme="minorHAnsi"/>
          <w:sz w:val="24"/>
          <w:lang w:eastAsia="en-US"/>
        </w:rPr>
        <w:t xml:space="preserve">The </w:t>
      </w:r>
      <w:r w:rsidRPr="00780AC0">
        <w:rPr>
          <w:rFonts w:asciiTheme="minorHAnsi" w:hAnsiTheme="minorHAnsi" w:cstheme="minorHAnsi"/>
          <w:sz w:val="24"/>
        </w:rPr>
        <w:t>world coarse grains indicator price (US No. 2 yellow corn, free on board Gulf ports) averaged US$32</w:t>
      </w:r>
      <w:r w:rsidR="00780AC0" w:rsidRPr="00780AC0">
        <w:rPr>
          <w:rFonts w:asciiTheme="minorHAnsi" w:hAnsiTheme="minorHAnsi" w:cstheme="minorHAnsi"/>
          <w:sz w:val="24"/>
        </w:rPr>
        <w:t>5</w:t>
      </w:r>
      <w:r w:rsidRPr="00780AC0">
        <w:rPr>
          <w:rFonts w:asciiTheme="minorHAnsi" w:hAnsiTheme="minorHAnsi" w:cstheme="minorHAnsi"/>
          <w:sz w:val="24"/>
        </w:rPr>
        <w:t xml:space="preserve"> a tonne in the week ending </w:t>
      </w:r>
      <w:r w:rsidR="00780AC0" w:rsidRPr="00780AC0">
        <w:rPr>
          <w:rFonts w:asciiTheme="minorHAnsi" w:hAnsiTheme="minorHAnsi" w:cstheme="minorHAnsi"/>
          <w:sz w:val="24"/>
        </w:rPr>
        <w:t>24</w:t>
      </w:r>
      <w:r w:rsidRPr="00780AC0">
        <w:rPr>
          <w:rFonts w:asciiTheme="minorHAnsi" w:hAnsiTheme="minorHAnsi" w:cstheme="minorHAnsi"/>
          <w:sz w:val="24"/>
        </w:rPr>
        <w:t xml:space="preserve"> October 2012, compared with </w:t>
      </w:r>
      <w:r w:rsidR="00780AC0" w:rsidRPr="00780AC0">
        <w:rPr>
          <w:rFonts w:asciiTheme="minorHAnsi" w:hAnsiTheme="minorHAnsi" w:cstheme="minorHAnsi"/>
          <w:sz w:val="24"/>
        </w:rPr>
        <w:t xml:space="preserve">US$321 a tonne in </w:t>
      </w:r>
      <w:r w:rsidRPr="00780AC0">
        <w:rPr>
          <w:rFonts w:asciiTheme="minorHAnsi" w:hAnsiTheme="minorHAnsi" w:cstheme="minorHAnsi"/>
          <w:sz w:val="24"/>
        </w:rPr>
        <w:t>the previous</w:t>
      </w:r>
      <w:r w:rsidRPr="00780AC0">
        <w:rPr>
          <w:rFonts w:asciiTheme="minorHAnsi" w:hAnsiTheme="minorHAnsi" w:cstheme="minorHAnsi"/>
          <w:sz w:val="24"/>
          <w:lang w:eastAsia="en-US"/>
        </w:rPr>
        <w:t xml:space="preserve"> week. </w:t>
      </w:r>
    </w:p>
    <w:p w:rsidR="00531172" w:rsidRPr="00780AC0" w:rsidRDefault="00780AC0">
      <w:pPr>
        <w:pStyle w:val="ListBullet"/>
        <w:numPr>
          <w:ilvl w:val="0"/>
          <w:numId w:val="2"/>
        </w:numPr>
        <w:spacing w:before="80"/>
        <w:ind w:left="224" w:hanging="366"/>
        <w:rPr>
          <w:rFonts w:asciiTheme="minorHAnsi" w:hAnsiTheme="minorHAnsi" w:cstheme="minorHAnsi"/>
          <w:sz w:val="24"/>
          <w:lang w:eastAsia="en-US"/>
        </w:rPr>
      </w:pPr>
      <w:r w:rsidRPr="00780AC0">
        <w:rPr>
          <w:rFonts w:asciiTheme="minorHAnsi" w:hAnsiTheme="minorHAnsi" w:cstheme="minorHAnsi"/>
          <w:sz w:val="24"/>
          <w:lang w:eastAsia="en-US"/>
        </w:rPr>
        <w:t>Vegetable wholesale prices were generally lower in the week ending 20 Octob</w:t>
      </w:r>
      <w:r w:rsidR="00E13C25">
        <w:rPr>
          <w:rFonts w:asciiTheme="minorHAnsi" w:hAnsiTheme="minorHAnsi" w:cstheme="minorHAnsi"/>
          <w:sz w:val="24"/>
          <w:lang w:eastAsia="en-US"/>
        </w:rPr>
        <w:t xml:space="preserve">er 2012. Fruit prices were </w:t>
      </w:r>
      <w:r w:rsidRPr="00780AC0">
        <w:rPr>
          <w:rFonts w:asciiTheme="minorHAnsi" w:hAnsiTheme="minorHAnsi" w:cstheme="minorHAnsi"/>
          <w:sz w:val="24"/>
          <w:lang w:eastAsia="en-US"/>
        </w:rPr>
        <w:t xml:space="preserve">mostly steady or lower, apart from small increases </w:t>
      </w:r>
      <w:r w:rsidR="00E13C25">
        <w:rPr>
          <w:rFonts w:asciiTheme="minorHAnsi" w:hAnsiTheme="minorHAnsi" w:cstheme="minorHAnsi"/>
          <w:sz w:val="24"/>
          <w:lang w:eastAsia="en-US"/>
        </w:rPr>
        <w:t>for</w:t>
      </w:r>
      <w:r w:rsidRPr="00780AC0">
        <w:rPr>
          <w:rFonts w:asciiTheme="minorHAnsi" w:hAnsiTheme="minorHAnsi" w:cstheme="minorHAnsi"/>
          <w:sz w:val="24"/>
          <w:lang w:eastAsia="en-US"/>
        </w:rPr>
        <w:t xml:space="preserve"> banana and pineapple</w:t>
      </w:r>
      <w:r w:rsidR="000E7BB7" w:rsidRPr="00780AC0">
        <w:rPr>
          <w:rFonts w:asciiTheme="minorHAnsi" w:hAnsiTheme="minorHAnsi" w:cstheme="minorHAnsi"/>
          <w:sz w:val="24"/>
          <w:lang w:eastAsia="en-US"/>
        </w:rPr>
        <w:t>.</w:t>
      </w:r>
    </w:p>
    <w:p w:rsidR="003C46D3" w:rsidRDefault="00780AC0">
      <w:pPr>
        <w:pStyle w:val="ListBullet"/>
        <w:numPr>
          <w:ilvl w:val="0"/>
          <w:numId w:val="2"/>
        </w:numPr>
        <w:spacing w:before="80"/>
        <w:ind w:left="224" w:hanging="366"/>
        <w:rPr>
          <w:rFonts w:ascii="Calibri" w:hAnsi="Calibri" w:cs="Arial"/>
          <w:bCs/>
          <w:szCs w:val="20"/>
          <w:lang w:eastAsia="en-US"/>
        </w:rPr>
      </w:pPr>
      <w:r w:rsidRPr="00CF3BAF">
        <w:rPr>
          <w:rFonts w:asciiTheme="minorHAnsi" w:hAnsiTheme="minorHAnsi" w:cstheme="minorHAnsi"/>
          <w:sz w:val="24"/>
        </w:rPr>
        <w:t>The Australian Eastern Market Indicator price for wool rose by 4 per cent in the week ending 18</w:t>
      </w:r>
      <w:r w:rsidR="00F42393">
        <w:rPr>
          <w:rFonts w:asciiTheme="minorHAnsi" w:hAnsiTheme="minorHAnsi" w:cstheme="minorHAnsi"/>
          <w:sz w:val="24"/>
        </w:rPr>
        <w:t xml:space="preserve"> October 2012 to 1014 cents a kilogram clean.</w:t>
      </w:r>
      <w:r w:rsidR="00F42393">
        <w:rPr>
          <w:rFonts w:ascii="Calibri" w:hAnsi="Calibri" w:cs="Arial"/>
          <w:color w:val="8DB3E2" w:themeColor="text2" w:themeTint="66"/>
          <w:szCs w:val="20"/>
        </w:rPr>
        <w:br w:type="page"/>
      </w:r>
    </w:p>
    <w:p w:rsidR="00D147ED" w:rsidRDefault="000E7BB7">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Climate</w:t>
      </w:r>
    </w:p>
    <w:p w:rsidR="00D147ED" w:rsidRDefault="000E7BB7">
      <w:pPr>
        <w:pStyle w:val="Heading3"/>
        <w:numPr>
          <w:ilvl w:val="1"/>
          <w:numId w:val="4"/>
        </w:numPr>
        <w:spacing w:before="120" w:line="276" w:lineRule="auto"/>
        <w:ind w:left="709" w:hanging="709"/>
        <w:rPr>
          <w:rFonts w:cs="Arial"/>
          <w:color w:val="auto"/>
          <w:sz w:val="28"/>
          <w:szCs w:val="28"/>
        </w:rPr>
      </w:pPr>
      <w:r>
        <w:rPr>
          <w:rFonts w:cs="Arial"/>
          <w:color w:val="auto"/>
          <w:sz w:val="28"/>
          <w:szCs w:val="28"/>
        </w:rPr>
        <w:t>Notable events</w:t>
      </w:r>
    </w:p>
    <w:p w:rsidR="00D147ED" w:rsidRPr="00C65561" w:rsidRDefault="0089557D">
      <w:pPr>
        <w:pStyle w:val="ListBullet"/>
        <w:rPr>
          <w:rFonts w:ascii="Calibri" w:hAnsi="Calibri" w:cs="Arial"/>
          <w:szCs w:val="20"/>
          <w:lang w:eastAsia="en-US"/>
        </w:rPr>
      </w:pPr>
      <w:r w:rsidRPr="00C65561">
        <w:rPr>
          <w:rFonts w:asciiTheme="minorHAnsi" w:hAnsiTheme="minorHAnsi" w:cstheme="minorHAnsi"/>
          <w:szCs w:val="20"/>
          <w:lang w:eastAsia="en-US"/>
        </w:rPr>
        <w:t xml:space="preserve">El Niño Southern Oscillation (ENSO) indicators </w:t>
      </w:r>
      <w:r w:rsidR="00F65728">
        <w:rPr>
          <w:rFonts w:asciiTheme="minorHAnsi" w:hAnsiTheme="minorHAnsi" w:cstheme="minorHAnsi"/>
          <w:szCs w:val="20"/>
          <w:lang w:eastAsia="en-US"/>
        </w:rPr>
        <w:t>are</w:t>
      </w:r>
      <w:r w:rsidRPr="00C65561">
        <w:rPr>
          <w:rFonts w:asciiTheme="minorHAnsi" w:hAnsiTheme="minorHAnsi" w:cstheme="minorHAnsi"/>
          <w:szCs w:val="20"/>
          <w:lang w:eastAsia="en-US"/>
        </w:rPr>
        <w:t xml:space="preserve"> </w:t>
      </w:r>
      <w:r w:rsidR="00EB7462">
        <w:rPr>
          <w:rFonts w:asciiTheme="minorHAnsi" w:hAnsiTheme="minorHAnsi" w:cstheme="minorHAnsi"/>
          <w:szCs w:val="20"/>
          <w:lang w:eastAsia="en-US"/>
        </w:rPr>
        <w:t xml:space="preserve">showing </w:t>
      </w:r>
      <w:r w:rsidRPr="00C65561">
        <w:rPr>
          <w:rFonts w:asciiTheme="minorHAnsi" w:hAnsiTheme="minorHAnsi" w:cstheme="minorHAnsi"/>
          <w:szCs w:val="20"/>
          <w:lang w:eastAsia="en-US"/>
        </w:rPr>
        <w:t>neutral</w:t>
      </w:r>
      <w:r w:rsidR="00EB7462">
        <w:rPr>
          <w:rFonts w:asciiTheme="minorHAnsi" w:hAnsiTheme="minorHAnsi" w:cstheme="minorHAnsi"/>
          <w:szCs w:val="20"/>
          <w:lang w:eastAsia="en-US"/>
        </w:rPr>
        <w:t xml:space="preserve"> values</w:t>
      </w:r>
      <w:r w:rsidRPr="00C65561">
        <w:rPr>
          <w:rFonts w:asciiTheme="minorHAnsi" w:hAnsiTheme="minorHAnsi" w:cstheme="minorHAnsi"/>
          <w:szCs w:val="20"/>
          <w:lang w:eastAsia="en-US"/>
        </w:rPr>
        <w:t>, suggesting</w:t>
      </w:r>
      <w:r w:rsidR="00C65561" w:rsidRPr="00C65561">
        <w:rPr>
          <w:rFonts w:asciiTheme="minorHAnsi" w:hAnsiTheme="minorHAnsi" w:cstheme="minorHAnsi"/>
          <w:szCs w:val="20"/>
          <w:lang w:eastAsia="en-US"/>
        </w:rPr>
        <w:t xml:space="preserve"> the El Niño event that was predicted for this summer may not occur</w:t>
      </w:r>
      <w:r w:rsidR="00EB7462">
        <w:rPr>
          <w:rFonts w:asciiTheme="minorHAnsi" w:hAnsiTheme="minorHAnsi" w:cstheme="minorHAnsi"/>
          <w:szCs w:val="20"/>
          <w:lang w:eastAsia="en-US"/>
        </w:rPr>
        <w:t xml:space="preserve"> (</w:t>
      </w:r>
      <w:r w:rsidR="007C591D" w:rsidRPr="007C591D">
        <w:rPr>
          <w:rFonts w:asciiTheme="minorHAnsi" w:hAnsiTheme="minorHAnsi" w:cstheme="minorHAnsi"/>
          <w:szCs w:val="20"/>
          <w:lang w:eastAsia="en-US"/>
        </w:rPr>
        <w:t>Bureau of Meteorology</w:t>
      </w:r>
      <w:r w:rsidR="007C591D">
        <w:rPr>
          <w:rFonts w:asciiTheme="minorHAnsi" w:hAnsiTheme="minorHAnsi" w:cstheme="minorHAnsi"/>
          <w:szCs w:val="20"/>
          <w:lang w:eastAsia="en-US"/>
        </w:rPr>
        <w:t xml:space="preserve"> ‘</w:t>
      </w:r>
      <w:r w:rsidR="00C67A68">
        <w:rPr>
          <w:rFonts w:cs="Arial"/>
          <w:color w:val="333333"/>
          <w:sz w:val="18"/>
          <w:szCs w:val="18"/>
        </w:rPr>
        <w:t>ENSO Wrap-Up</w:t>
      </w:r>
      <w:r w:rsidR="007C591D">
        <w:rPr>
          <w:rFonts w:cs="Arial"/>
          <w:color w:val="333333"/>
          <w:sz w:val="18"/>
          <w:szCs w:val="18"/>
        </w:rPr>
        <w:t>’</w:t>
      </w:r>
      <w:r w:rsidR="00AC560A">
        <w:rPr>
          <w:rFonts w:cs="Arial"/>
          <w:color w:val="333333"/>
          <w:sz w:val="18"/>
          <w:szCs w:val="18"/>
        </w:rPr>
        <w:t xml:space="preserve"> 23 </w:t>
      </w:r>
      <w:r w:rsidR="007C591D">
        <w:rPr>
          <w:rFonts w:cs="Arial"/>
          <w:color w:val="333333"/>
          <w:sz w:val="18"/>
          <w:szCs w:val="18"/>
        </w:rPr>
        <w:t>October</w:t>
      </w:r>
      <w:r w:rsidR="00AC560A">
        <w:rPr>
          <w:rFonts w:cs="Arial"/>
          <w:color w:val="333333"/>
          <w:sz w:val="18"/>
          <w:szCs w:val="18"/>
        </w:rPr>
        <w:t> </w:t>
      </w:r>
      <w:r w:rsidR="007C591D">
        <w:rPr>
          <w:rFonts w:cs="Arial"/>
          <w:color w:val="333333"/>
          <w:sz w:val="18"/>
          <w:szCs w:val="18"/>
        </w:rPr>
        <w:t>2012</w:t>
      </w:r>
      <w:r w:rsidR="00EB7462">
        <w:rPr>
          <w:rFonts w:asciiTheme="minorHAnsi" w:hAnsiTheme="minorHAnsi" w:cstheme="minorHAnsi"/>
          <w:szCs w:val="20"/>
          <w:lang w:eastAsia="en-US"/>
        </w:rPr>
        <w:t>)</w:t>
      </w:r>
      <w:r w:rsidRPr="00C65561">
        <w:rPr>
          <w:rFonts w:asciiTheme="minorHAnsi" w:hAnsiTheme="minorHAnsi" w:cstheme="minorHAnsi"/>
          <w:szCs w:val="20"/>
          <w:lang w:eastAsia="en-US"/>
        </w:rPr>
        <w:t xml:space="preserve">. </w:t>
      </w:r>
      <w:r w:rsidR="00C65561" w:rsidRPr="00C65561">
        <w:rPr>
          <w:rFonts w:asciiTheme="minorHAnsi" w:hAnsiTheme="minorHAnsi" w:cstheme="minorHAnsi"/>
          <w:szCs w:val="20"/>
          <w:lang w:eastAsia="en-US"/>
        </w:rPr>
        <w:t>In the absence of an El Niño event, t</w:t>
      </w:r>
      <w:r w:rsidRPr="00C65561">
        <w:rPr>
          <w:rFonts w:asciiTheme="minorHAnsi" w:hAnsiTheme="minorHAnsi" w:cstheme="minorHAnsi"/>
          <w:szCs w:val="20"/>
          <w:lang w:eastAsia="en-US"/>
        </w:rPr>
        <w:t xml:space="preserve">he Bureau of Meteorology </w:t>
      </w:r>
      <w:r w:rsidR="00C65561" w:rsidRPr="00C65561">
        <w:rPr>
          <w:rFonts w:asciiTheme="minorHAnsi" w:hAnsiTheme="minorHAnsi" w:cstheme="minorHAnsi"/>
          <w:szCs w:val="20"/>
          <w:lang w:eastAsia="en-US"/>
        </w:rPr>
        <w:t>predicts</w:t>
      </w:r>
      <w:r w:rsidRPr="00C65561">
        <w:rPr>
          <w:rFonts w:asciiTheme="minorHAnsi" w:hAnsiTheme="minorHAnsi" w:cstheme="minorHAnsi"/>
          <w:szCs w:val="20"/>
          <w:lang w:eastAsia="en-US"/>
        </w:rPr>
        <w:t xml:space="preserve"> </w:t>
      </w:r>
      <w:r w:rsidR="00C37AB8">
        <w:rPr>
          <w:rFonts w:asciiTheme="minorHAnsi" w:hAnsiTheme="minorHAnsi" w:cstheme="minorHAnsi"/>
          <w:szCs w:val="20"/>
          <w:lang w:eastAsia="en-US"/>
        </w:rPr>
        <w:t xml:space="preserve">a warmer summer with </w:t>
      </w:r>
      <w:r w:rsidRPr="00C65561">
        <w:rPr>
          <w:rFonts w:asciiTheme="minorHAnsi" w:hAnsiTheme="minorHAnsi" w:cstheme="minorHAnsi"/>
          <w:szCs w:val="20"/>
          <w:lang w:eastAsia="en-US"/>
        </w:rPr>
        <w:t>av</w:t>
      </w:r>
      <w:r w:rsidR="00C37AB8">
        <w:rPr>
          <w:rFonts w:asciiTheme="minorHAnsi" w:hAnsiTheme="minorHAnsi" w:cstheme="minorHAnsi"/>
          <w:szCs w:val="20"/>
          <w:lang w:eastAsia="en-US"/>
        </w:rPr>
        <w:t xml:space="preserve">erage to above-average rainfall across most </w:t>
      </w:r>
      <w:r w:rsidR="00C37AB8" w:rsidRPr="00E40711">
        <w:rPr>
          <w:rFonts w:asciiTheme="minorHAnsi" w:hAnsiTheme="minorHAnsi" w:cstheme="minorHAnsi"/>
          <w:szCs w:val="20"/>
          <w:lang w:eastAsia="en-US"/>
        </w:rPr>
        <w:t xml:space="preserve">of </w:t>
      </w:r>
      <w:r w:rsidR="00E40711" w:rsidRPr="00E40711">
        <w:rPr>
          <w:rFonts w:asciiTheme="minorHAnsi" w:hAnsiTheme="minorHAnsi" w:cstheme="minorHAnsi"/>
          <w:szCs w:val="20"/>
          <w:lang w:eastAsia="en-US"/>
        </w:rPr>
        <w:t>Australia</w:t>
      </w:r>
      <w:r w:rsidR="00C65561" w:rsidRPr="00E40711">
        <w:rPr>
          <w:rFonts w:asciiTheme="minorHAnsi" w:hAnsiTheme="minorHAnsi" w:cstheme="minorHAnsi"/>
          <w:szCs w:val="20"/>
          <w:lang w:eastAsia="en-US"/>
        </w:rPr>
        <w:t>.</w:t>
      </w:r>
    </w:p>
    <w:p w:rsidR="008F5BA8" w:rsidRPr="008F5BA8" w:rsidRDefault="00C65561">
      <w:pPr>
        <w:pStyle w:val="ListBullet"/>
        <w:rPr>
          <w:rFonts w:ascii="Calibri" w:hAnsi="Calibri" w:cs="Arial"/>
          <w:szCs w:val="20"/>
          <w:lang w:eastAsia="en-US"/>
        </w:rPr>
      </w:pPr>
      <w:r w:rsidRPr="00C65561">
        <w:rPr>
          <w:rFonts w:asciiTheme="minorHAnsi" w:hAnsiTheme="minorHAnsi" w:cstheme="minorHAnsi"/>
          <w:szCs w:val="20"/>
          <w:lang w:eastAsia="en-US"/>
        </w:rPr>
        <w:t>Lightning strikes</w:t>
      </w:r>
      <w:r>
        <w:rPr>
          <w:rFonts w:asciiTheme="minorHAnsi" w:hAnsiTheme="minorHAnsi" w:cstheme="minorHAnsi"/>
          <w:szCs w:val="20"/>
          <w:lang w:eastAsia="en-US"/>
        </w:rPr>
        <w:t xml:space="preserve"> have ignited hundreds of fires in central Australia, </w:t>
      </w:r>
      <w:r w:rsidR="00EB2488">
        <w:rPr>
          <w:rFonts w:asciiTheme="minorHAnsi" w:hAnsiTheme="minorHAnsi" w:cstheme="minorHAnsi"/>
          <w:szCs w:val="20"/>
          <w:lang w:eastAsia="en-US"/>
        </w:rPr>
        <w:t xml:space="preserve">northern </w:t>
      </w:r>
      <w:r>
        <w:rPr>
          <w:rFonts w:asciiTheme="minorHAnsi" w:hAnsiTheme="minorHAnsi" w:cstheme="minorHAnsi"/>
          <w:szCs w:val="20"/>
          <w:lang w:eastAsia="en-US"/>
        </w:rPr>
        <w:t>Queensland and far west New South Wales</w:t>
      </w:r>
      <w:r w:rsidR="00E13C25">
        <w:rPr>
          <w:rFonts w:asciiTheme="minorHAnsi" w:hAnsiTheme="minorHAnsi" w:cstheme="minorHAnsi"/>
          <w:szCs w:val="20"/>
          <w:lang w:eastAsia="en-US"/>
        </w:rPr>
        <w:t xml:space="preserve">, burning </w:t>
      </w:r>
      <w:r w:rsidR="00EB2488">
        <w:rPr>
          <w:rFonts w:asciiTheme="minorHAnsi" w:hAnsiTheme="minorHAnsi" w:cstheme="minorHAnsi"/>
          <w:szCs w:val="20"/>
          <w:lang w:eastAsia="en-US"/>
        </w:rPr>
        <w:t xml:space="preserve">thousands of hectares of grazing land and causing damage to cattle yards and </w:t>
      </w:r>
      <w:r w:rsidR="00EB2488" w:rsidRPr="00E96BBB">
        <w:rPr>
          <w:rFonts w:asciiTheme="minorHAnsi" w:hAnsiTheme="minorHAnsi" w:cstheme="minorHAnsi"/>
          <w:szCs w:val="20"/>
          <w:lang w:eastAsia="en-US"/>
        </w:rPr>
        <w:t xml:space="preserve">other infrastructure. </w:t>
      </w:r>
      <w:r w:rsidR="00E96BBB" w:rsidRPr="00E96BBB">
        <w:rPr>
          <w:rFonts w:asciiTheme="minorHAnsi" w:hAnsiTheme="minorHAnsi" w:cstheme="minorHAnsi"/>
          <w:szCs w:val="20"/>
          <w:lang w:eastAsia="en-US"/>
        </w:rPr>
        <w:t>Graziers are assessing stock and pastures losses</w:t>
      </w:r>
      <w:r w:rsidR="00733D55">
        <w:rPr>
          <w:rFonts w:asciiTheme="minorHAnsi" w:hAnsiTheme="minorHAnsi" w:cstheme="minorHAnsi"/>
          <w:szCs w:val="20"/>
          <w:lang w:eastAsia="en-US"/>
        </w:rPr>
        <w:t>;</w:t>
      </w:r>
      <w:r w:rsidR="00733D55" w:rsidRPr="00E96BBB">
        <w:rPr>
          <w:rFonts w:asciiTheme="minorHAnsi" w:hAnsiTheme="minorHAnsi" w:cstheme="minorHAnsi"/>
          <w:szCs w:val="20"/>
          <w:lang w:eastAsia="en-US"/>
        </w:rPr>
        <w:t xml:space="preserve"> </w:t>
      </w:r>
      <w:r w:rsidR="00E96BBB" w:rsidRPr="00E96BBB">
        <w:rPr>
          <w:rFonts w:asciiTheme="minorHAnsi" w:hAnsiTheme="minorHAnsi" w:cstheme="minorHAnsi"/>
          <w:szCs w:val="20"/>
          <w:lang w:eastAsia="en-US"/>
        </w:rPr>
        <w:t>the</w:t>
      </w:r>
      <w:r w:rsidR="00E96BBB">
        <w:rPr>
          <w:rFonts w:asciiTheme="minorHAnsi" w:hAnsiTheme="minorHAnsi" w:cstheme="minorHAnsi"/>
          <w:szCs w:val="20"/>
          <w:lang w:eastAsia="en-US"/>
        </w:rPr>
        <w:t xml:space="preserve"> full extent is not yet known</w:t>
      </w:r>
      <w:r w:rsidR="002F35D8" w:rsidRPr="00E96BBB">
        <w:rPr>
          <w:rFonts w:asciiTheme="minorHAnsi" w:hAnsiTheme="minorHAnsi" w:cstheme="minorHAnsi"/>
          <w:szCs w:val="20"/>
          <w:lang w:eastAsia="en-US"/>
        </w:rPr>
        <w:t>.</w:t>
      </w:r>
    </w:p>
    <w:p w:rsidR="00D147ED" w:rsidRPr="00C65561" w:rsidRDefault="00D918E9">
      <w:pPr>
        <w:pStyle w:val="ListBullet"/>
        <w:rPr>
          <w:rFonts w:ascii="Calibri" w:hAnsi="Calibri" w:cs="Arial"/>
          <w:szCs w:val="20"/>
          <w:lang w:eastAsia="en-US"/>
        </w:rPr>
      </w:pPr>
      <w:r w:rsidRPr="00D918E9">
        <w:rPr>
          <w:rFonts w:asciiTheme="minorHAnsi" w:hAnsiTheme="minorHAnsi" w:cstheme="minorHAnsi"/>
          <w:szCs w:val="20"/>
          <w:lang w:eastAsia="en-US"/>
        </w:rPr>
        <w:t>The</w:t>
      </w:r>
      <w:r w:rsidR="00D346B4" w:rsidRPr="00D918E9">
        <w:rPr>
          <w:rFonts w:asciiTheme="minorHAnsi" w:hAnsiTheme="minorHAnsi" w:cstheme="minorHAnsi"/>
          <w:szCs w:val="20"/>
          <w:lang w:eastAsia="en-US"/>
        </w:rPr>
        <w:t xml:space="preserve"> record-breaking run of high temperatures in central Australia came to an end </w:t>
      </w:r>
      <w:r w:rsidR="00637ABE" w:rsidRPr="00D918E9">
        <w:rPr>
          <w:rFonts w:asciiTheme="minorHAnsi" w:hAnsiTheme="minorHAnsi" w:cstheme="minorHAnsi"/>
          <w:szCs w:val="20"/>
          <w:lang w:eastAsia="en-US"/>
        </w:rPr>
        <w:t>yesterday (</w:t>
      </w:r>
      <w:r w:rsidR="00E13C25">
        <w:rPr>
          <w:rFonts w:asciiTheme="minorHAnsi" w:hAnsiTheme="minorHAnsi" w:cstheme="minorHAnsi"/>
          <w:szCs w:val="20"/>
          <w:lang w:eastAsia="en-US"/>
        </w:rPr>
        <w:t>24 </w:t>
      </w:r>
      <w:r w:rsidRPr="00D918E9">
        <w:rPr>
          <w:rFonts w:asciiTheme="minorHAnsi" w:hAnsiTheme="minorHAnsi" w:cstheme="minorHAnsi"/>
          <w:szCs w:val="20"/>
          <w:lang w:eastAsia="en-US"/>
        </w:rPr>
        <w:t>October</w:t>
      </w:r>
      <w:r w:rsidR="00E13C25">
        <w:rPr>
          <w:rFonts w:asciiTheme="minorHAnsi" w:hAnsiTheme="minorHAnsi" w:cstheme="minorHAnsi"/>
          <w:szCs w:val="20"/>
          <w:lang w:eastAsia="en-US"/>
        </w:rPr>
        <w:t> 2012</w:t>
      </w:r>
      <w:r w:rsidR="00637ABE" w:rsidRPr="00D918E9">
        <w:rPr>
          <w:rFonts w:asciiTheme="minorHAnsi" w:hAnsiTheme="minorHAnsi" w:cstheme="minorHAnsi"/>
          <w:szCs w:val="20"/>
          <w:lang w:eastAsia="en-US"/>
        </w:rPr>
        <w:t xml:space="preserve">) </w:t>
      </w:r>
      <w:r w:rsidR="00D346B4" w:rsidRPr="00D918E9">
        <w:rPr>
          <w:rFonts w:asciiTheme="minorHAnsi" w:hAnsiTheme="minorHAnsi" w:cstheme="minorHAnsi"/>
          <w:szCs w:val="20"/>
          <w:lang w:eastAsia="en-US"/>
        </w:rPr>
        <w:t xml:space="preserve">with </w:t>
      </w:r>
      <w:r w:rsidR="00637ABE" w:rsidRPr="00D918E9">
        <w:rPr>
          <w:rFonts w:asciiTheme="minorHAnsi" w:hAnsiTheme="minorHAnsi" w:cstheme="minorHAnsi"/>
          <w:szCs w:val="20"/>
          <w:lang w:eastAsia="en-US"/>
        </w:rPr>
        <w:t xml:space="preserve">the arrival of </w:t>
      </w:r>
      <w:r w:rsidR="00D346B4" w:rsidRPr="00D918E9">
        <w:rPr>
          <w:rFonts w:asciiTheme="minorHAnsi" w:hAnsiTheme="minorHAnsi" w:cstheme="minorHAnsi"/>
          <w:szCs w:val="20"/>
          <w:lang w:eastAsia="en-US"/>
        </w:rPr>
        <w:t>a cool</w:t>
      </w:r>
      <w:r w:rsidR="00A90E76" w:rsidRPr="00D918E9">
        <w:rPr>
          <w:rFonts w:asciiTheme="minorHAnsi" w:hAnsiTheme="minorHAnsi" w:cstheme="minorHAnsi"/>
          <w:szCs w:val="20"/>
          <w:lang w:eastAsia="en-US"/>
        </w:rPr>
        <w:t xml:space="preserve"> change. This </w:t>
      </w:r>
      <w:r w:rsidR="00E425FB">
        <w:rPr>
          <w:rFonts w:asciiTheme="minorHAnsi" w:hAnsiTheme="minorHAnsi" w:cstheme="minorHAnsi"/>
          <w:szCs w:val="20"/>
          <w:lang w:eastAsia="en-US"/>
        </w:rPr>
        <w:t>is expected to</w:t>
      </w:r>
      <w:r w:rsidR="00E425FB" w:rsidRPr="00D918E9">
        <w:rPr>
          <w:rFonts w:asciiTheme="minorHAnsi" w:hAnsiTheme="minorHAnsi" w:cstheme="minorHAnsi"/>
          <w:szCs w:val="20"/>
          <w:lang w:eastAsia="en-US"/>
        </w:rPr>
        <w:t xml:space="preserve"> </w:t>
      </w:r>
      <w:r w:rsidR="00D346B4" w:rsidRPr="00D918E9">
        <w:rPr>
          <w:rFonts w:asciiTheme="minorHAnsi" w:hAnsiTheme="minorHAnsi" w:cstheme="minorHAnsi"/>
          <w:szCs w:val="20"/>
          <w:lang w:eastAsia="en-US"/>
        </w:rPr>
        <w:t>assist fire-fighting efforts</w:t>
      </w:r>
      <w:r w:rsidR="00A90E76" w:rsidRPr="00D918E9">
        <w:rPr>
          <w:rFonts w:asciiTheme="minorHAnsi" w:hAnsiTheme="minorHAnsi" w:cstheme="minorHAnsi"/>
          <w:szCs w:val="20"/>
          <w:lang w:eastAsia="en-US"/>
        </w:rPr>
        <w:t xml:space="preserve"> in the region</w:t>
      </w:r>
      <w:r w:rsidR="00D346B4" w:rsidRPr="00D918E9">
        <w:rPr>
          <w:rFonts w:asciiTheme="minorHAnsi" w:hAnsiTheme="minorHAnsi" w:cstheme="minorHAnsi"/>
          <w:szCs w:val="20"/>
          <w:lang w:eastAsia="en-US"/>
        </w:rPr>
        <w:t>.</w:t>
      </w:r>
    </w:p>
    <w:p w:rsidR="00D147ED" w:rsidRPr="00F93F10" w:rsidRDefault="00E96BBB">
      <w:pPr>
        <w:pStyle w:val="ListBullet"/>
        <w:rPr>
          <w:rFonts w:ascii="Calibri" w:hAnsi="Calibri" w:cs="Arial"/>
          <w:color w:val="4F81BD" w:themeColor="accent1"/>
          <w:szCs w:val="20"/>
          <w:lang w:eastAsia="en-US"/>
        </w:rPr>
      </w:pPr>
      <w:proofErr w:type="spellStart"/>
      <w:r w:rsidRPr="00F93F10">
        <w:rPr>
          <w:rFonts w:asciiTheme="minorHAnsi" w:hAnsiTheme="minorHAnsi" w:cstheme="minorHAnsi"/>
          <w:szCs w:val="20"/>
          <w:lang w:eastAsia="en-US"/>
        </w:rPr>
        <w:t>GrainCorp</w:t>
      </w:r>
      <w:proofErr w:type="spellEnd"/>
      <w:r w:rsidRPr="00F93F10">
        <w:rPr>
          <w:rFonts w:asciiTheme="minorHAnsi" w:hAnsiTheme="minorHAnsi" w:cstheme="minorHAnsi"/>
          <w:szCs w:val="20"/>
          <w:lang w:eastAsia="en-US"/>
        </w:rPr>
        <w:t xml:space="preserve"> </w:t>
      </w:r>
      <w:r w:rsidR="00B70547" w:rsidRPr="00F93F10">
        <w:rPr>
          <w:rFonts w:asciiTheme="minorHAnsi" w:hAnsiTheme="minorHAnsi" w:cstheme="minorHAnsi"/>
          <w:szCs w:val="20"/>
          <w:lang w:eastAsia="en-US"/>
        </w:rPr>
        <w:t>report</w:t>
      </w:r>
      <w:r w:rsidR="00B70547">
        <w:rPr>
          <w:rFonts w:asciiTheme="minorHAnsi" w:hAnsiTheme="minorHAnsi" w:cstheme="minorHAnsi"/>
          <w:szCs w:val="20"/>
          <w:lang w:eastAsia="en-US"/>
        </w:rPr>
        <w:t>ed</w:t>
      </w:r>
      <w:r w:rsidR="00B70547" w:rsidRPr="00F93F10">
        <w:rPr>
          <w:rFonts w:asciiTheme="minorHAnsi" w:hAnsiTheme="minorHAnsi" w:cstheme="minorHAnsi"/>
          <w:szCs w:val="20"/>
          <w:lang w:eastAsia="en-US"/>
        </w:rPr>
        <w:t xml:space="preserve"> </w:t>
      </w:r>
      <w:r w:rsidR="004F1BC7" w:rsidRPr="00F93F10">
        <w:rPr>
          <w:rFonts w:asciiTheme="minorHAnsi" w:hAnsiTheme="minorHAnsi" w:cstheme="minorHAnsi"/>
          <w:szCs w:val="20"/>
          <w:lang w:eastAsia="en-US"/>
        </w:rPr>
        <w:t xml:space="preserve">a </w:t>
      </w:r>
      <w:r w:rsidR="00F93F10" w:rsidRPr="00F93F10">
        <w:rPr>
          <w:rFonts w:asciiTheme="minorHAnsi" w:hAnsiTheme="minorHAnsi" w:cstheme="minorHAnsi"/>
          <w:szCs w:val="20"/>
          <w:lang w:eastAsia="en-US"/>
        </w:rPr>
        <w:t>positive</w:t>
      </w:r>
      <w:r w:rsidR="004F1BC7" w:rsidRPr="00F93F10">
        <w:rPr>
          <w:rFonts w:asciiTheme="minorHAnsi" w:hAnsiTheme="minorHAnsi" w:cstheme="minorHAnsi"/>
          <w:szCs w:val="20"/>
          <w:lang w:eastAsia="en-US"/>
        </w:rPr>
        <w:t xml:space="preserve"> start to the harvest in Queensland and northern NSW</w:t>
      </w:r>
      <w:r w:rsidR="00E13C25">
        <w:rPr>
          <w:rFonts w:asciiTheme="minorHAnsi" w:hAnsiTheme="minorHAnsi" w:cstheme="minorHAnsi"/>
          <w:szCs w:val="20"/>
          <w:lang w:eastAsia="en-US"/>
        </w:rPr>
        <w:t xml:space="preserve"> on 23 October 2012</w:t>
      </w:r>
      <w:r w:rsidR="004C6F8D">
        <w:rPr>
          <w:rFonts w:asciiTheme="minorHAnsi" w:hAnsiTheme="minorHAnsi" w:cstheme="minorHAnsi"/>
          <w:szCs w:val="20"/>
          <w:lang w:eastAsia="en-US"/>
        </w:rPr>
        <w:t>,</w:t>
      </w:r>
      <w:r w:rsidR="004F1BC7" w:rsidRPr="00F93F10">
        <w:rPr>
          <w:rFonts w:asciiTheme="minorHAnsi" w:hAnsiTheme="minorHAnsi" w:cstheme="minorHAnsi"/>
          <w:szCs w:val="20"/>
          <w:lang w:eastAsia="en-US"/>
        </w:rPr>
        <w:t xml:space="preserve"> </w:t>
      </w:r>
      <w:r w:rsidR="00EF490F">
        <w:rPr>
          <w:rFonts w:asciiTheme="minorHAnsi" w:hAnsiTheme="minorHAnsi" w:cstheme="minorHAnsi"/>
          <w:szCs w:val="20"/>
          <w:lang w:eastAsia="en-US"/>
        </w:rPr>
        <w:t>where</w:t>
      </w:r>
      <w:r w:rsidR="00EF490F" w:rsidRPr="00F93F10">
        <w:rPr>
          <w:rFonts w:asciiTheme="minorHAnsi" w:hAnsiTheme="minorHAnsi" w:cstheme="minorHAnsi"/>
          <w:szCs w:val="20"/>
          <w:lang w:eastAsia="en-US"/>
        </w:rPr>
        <w:t xml:space="preserve"> </w:t>
      </w:r>
      <w:r w:rsidR="009E18C3">
        <w:rPr>
          <w:rFonts w:asciiTheme="minorHAnsi" w:hAnsiTheme="minorHAnsi" w:cstheme="minorHAnsi"/>
          <w:szCs w:val="20"/>
          <w:lang w:eastAsia="en-US"/>
        </w:rPr>
        <w:t xml:space="preserve">hot conditions </w:t>
      </w:r>
      <w:r w:rsidR="0076607E">
        <w:rPr>
          <w:rFonts w:asciiTheme="minorHAnsi" w:hAnsiTheme="minorHAnsi" w:cstheme="minorHAnsi"/>
          <w:szCs w:val="20"/>
          <w:lang w:eastAsia="en-US"/>
        </w:rPr>
        <w:t xml:space="preserve">have advanced </w:t>
      </w:r>
      <w:r w:rsidR="009E18C3">
        <w:rPr>
          <w:rFonts w:asciiTheme="minorHAnsi" w:hAnsiTheme="minorHAnsi" w:cstheme="minorHAnsi"/>
          <w:szCs w:val="20"/>
          <w:lang w:eastAsia="en-US"/>
        </w:rPr>
        <w:t>ripening. E</w:t>
      </w:r>
      <w:r w:rsidR="00F93F10">
        <w:rPr>
          <w:rFonts w:asciiTheme="minorHAnsi" w:hAnsiTheme="minorHAnsi" w:cstheme="minorHAnsi"/>
          <w:szCs w:val="20"/>
          <w:lang w:eastAsia="en-US"/>
        </w:rPr>
        <w:t xml:space="preserve">arly deliveries of wheat and canola </w:t>
      </w:r>
      <w:r w:rsidR="009E18C3">
        <w:rPr>
          <w:rFonts w:asciiTheme="minorHAnsi" w:hAnsiTheme="minorHAnsi" w:cstheme="minorHAnsi"/>
          <w:szCs w:val="20"/>
          <w:lang w:eastAsia="en-US"/>
        </w:rPr>
        <w:t>are of good quality</w:t>
      </w:r>
      <w:r w:rsidR="00E13C25">
        <w:rPr>
          <w:rFonts w:asciiTheme="minorHAnsi" w:hAnsiTheme="minorHAnsi" w:cstheme="minorHAnsi"/>
          <w:szCs w:val="20"/>
          <w:lang w:eastAsia="en-US"/>
        </w:rPr>
        <w:t>.</w:t>
      </w:r>
    </w:p>
    <w:p w:rsidR="00F93F10" w:rsidRPr="00220D51" w:rsidRDefault="00D918E9">
      <w:pPr>
        <w:pStyle w:val="ListBullet"/>
        <w:rPr>
          <w:rFonts w:ascii="Calibri" w:hAnsi="Calibri" w:cs="Arial"/>
          <w:szCs w:val="20"/>
          <w:lang w:eastAsia="en-US"/>
        </w:rPr>
      </w:pPr>
      <w:r>
        <w:rPr>
          <w:rFonts w:ascii="Calibri" w:hAnsi="Calibri" w:cs="Arial"/>
          <w:szCs w:val="20"/>
          <w:lang w:eastAsia="en-US"/>
        </w:rPr>
        <w:t>Patchy, l</w:t>
      </w:r>
      <w:r w:rsidR="00220D51" w:rsidRPr="00220D51">
        <w:rPr>
          <w:rFonts w:ascii="Calibri" w:hAnsi="Calibri" w:cs="Arial"/>
          <w:szCs w:val="20"/>
          <w:lang w:eastAsia="en-US"/>
        </w:rPr>
        <w:t xml:space="preserve">ight rain has fallen </w:t>
      </w:r>
      <w:r w:rsidR="00220D51">
        <w:rPr>
          <w:rFonts w:ascii="Calibri" w:hAnsi="Calibri" w:cs="Arial"/>
          <w:szCs w:val="20"/>
          <w:lang w:eastAsia="en-US"/>
        </w:rPr>
        <w:t>in</w:t>
      </w:r>
      <w:r w:rsidR="00220D51" w:rsidRPr="00220D51">
        <w:rPr>
          <w:rFonts w:ascii="Calibri" w:hAnsi="Calibri" w:cs="Arial"/>
          <w:szCs w:val="20"/>
          <w:lang w:eastAsia="en-US"/>
        </w:rPr>
        <w:t xml:space="preserve"> Western Australia’s agricultural region</w:t>
      </w:r>
      <w:r w:rsidR="00220D51">
        <w:rPr>
          <w:rFonts w:ascii="Calibri" w:hAnsi="Calibri" w:cs="Arial"/>
          <w:szCs w:val="20"/>
          <w:lang w:eastAsia="en-US"/>
        </w:rPr>
        <w:t>s</w:t>
      </w:r>
      <w:r w:rsidR="00220D51" w:rsidRPr="00220D51">
        <w:rPr>
          <w:rFonts w:ascii="Calibri" w:hAnsi="Calibri" w:cs="Arial"/>
          <w:szCs w:val="20"/>
          <w:lang w:eastAsia="en-US"/>
        </w:rPr>
        <w:t xml:space="preserve"> in the past week, bring</w:t>
      </w:r>
      <w:r w:rsidR="00220D51">
        <w:rPr>
          <w:rFonts w:ascii="Calibri" w:hAnsi="Calibri" w:cs="Arial"/>
          <w:szCs w:val="20"/>
          <w:lang w:eastAsia="en-US"/>
        </w:rPr>
        <w:t>ing</w:t>
      </w:r>
      <w:r w:rsidR="00220D51" w:rsidRPr="00220D51">
        <w:rPr>
          <w:rFonts w:ascii="Calibri" w:hAnsi="Calibri" w:cs="Arial"/>
          <w:szCs w:val="20"/>
          <w:lang w:eastAsia="en-US"/>
        </w:rPr>
        <w:t xml:space="preserve"> </w:t>
      </w:r>
      <w:r w:rsidR="005455F6">
        <w:rPr>
          <w:rFonts w:ascii="Calibri" w:hAnsi="Calibri" w:cs="Arial"/>
          <w:szCs w:val="20"/>
          <w:lang w:eastAsia="en-US"/>
        </w:rPr>
        <w:t>temporary relief from hot spring</w:t>
      </w:r>
      <w:r w:rsidR="00220D51" w:rsidRPr="00220D51">
        <w:rPr>
          <w:rFonts w:ascii="Calibri" w:hAnsi="Calibri" w:cs="Arial"/>
          <w:szCs w:val="20"/>
          <w:lang w:eastAsia="en-US"/>
        </w:rPr>
        <w:t xml:space="preserve"> </w:t>
      </w:r>
      <w:r w:rsidR="00220D51" w:rsidRPr="00D918E9">
        <w:rPr>
          <w:rFonts w:ascii="Calibri" w:hAnsi="Calibri" w:cs="Arial"/>
          <w:szCs w:val="20"/>
          <w:lang w:eastAsia="en-US"/>
        </w:rPr>
        <w:t xml:space="preserve">temperatures </w:t>
      </w:r>
      <w:r w:rsidR="005455F6" w:rsidRPr="00D918E9">
        <w:rPr>
          <w:rFonts w:ascii="Calibri" w:hAnsi="Calibri" w:cs="Arial"/>
          <w:szCs w:val="20"/>
          <w:lang w:eastAsia="en-US"/>
        </w:rPr>
        <w:t xml:space="preserve">and a slight reduction </w:t>
      </w:r>
      <w:r>
        <w:rPr>
          <w:rFonts w:ascii="Calibri" w:hAnsi="Calibri" w:cs="Arial"/>
          <w:szCs w:val="20"/>
          <w:lang w:eastAsia="en-US"/>
        </w:rPr>
        <w:t>to</w:t>
      </w:r>
      <w:r w:rsidR="005455F6" w:rsidRPr="00D918E9">
        <w:rPr>
          <w:rFonts w:ascii="Calibri" w:hAnsi="Calibri" w:cs="Arial"/>
          <w:szCs w:val="20"/>
          <w:lang w:eastAsia="en-US"/>
        </w:rPr>
        <w:t xml:space="preserve"> bushfire risk</w:t>
      </w:r>
      <w:r w:rsidR="00220D51" w:rsidRPr="00D918E9">
        <w:rPr>
          <w:rFonts w:ascii="Calibri" w:hAnsi="Calibri" w:cs="Arial"/>
          <w:szCs w:val="20"/>
          <w:lang w:eastAsia="en-US"/>
        </w:rPr>
        <w:t>.</w:t>
      </w:r>
    </w:p>
    <w:p w:rsidR="00D147ED" w:rsidRPr="00BA2BDD" w:rsidRDefault="000E7BB7" w:rsidP="00BA2BDD">
      <w:pPr>
        <w:pStyle w:val="Heading3"/>
        <w:numPr>
          <w:ilvl w:val="1"/>
          <w:numId w:val="4"/>
        </w:numPr>
        <w:spacing w:before="360" w:line="276" w:lineRule="auto"/>
        <w:ind w:left="709" w:hanging="709"/>
        <w:rPr>
          <w:rFonts w:asciiTheme="majorHAnsi" w:hAnsiTheme="majorHAnsi" w:cstheme="minorHAnsi"/>
          <w:color w:val="auto"/>
          <w:sz w:val="28"/>
          <w:szCs w:val="20"/>
          <w:lang w:eastAsia="en-US"/>
        </w:rPr>
      </w:pPr>
      <w:r w:rsidRPr="00BA2BDD">
        <w:rPr>
          <w:rFonts w:asciiTheme="majorHAnsi" w:hAnsiTheme="majorHAnsi" w:cstheme="minorHAnsi"/>
          <w:color w:val="auto"/>
          <w:sz w:val="28"/>
          <w:szCs w:val="20"/>
          <w:lang w:eastAsia="en-US"/>
        </w:rPr>
        <w:t>Rainfall this week</w:t>
      </w:r>
    </w:p>
    <w:p w:rsidR="00D147ED" w:rsidRDefault="000E7BB7">
      <w:pPr>
        <w:pStyle w:val="ListParagraph"/>
        <w:spacing w:after="0" w:line="240" w:lineRule="auto"/>
        <w:ind w:left="0"/>
        <w:rPr>
          <w:rFonts w:cs="Arial"/>
          <w:sz w:val="20"/>
          <w:szCs w:val="20"/>
        </w:rPr>
      </w:pPr>
      <w:r>
        <w:rPr>
          <w:rFonts w:asciiTheme="minorHAnsi" w:hAnsiTheme="minorHAnsi" w:cstheme="minorHAnsi"/>
          <w:sz w:val="20"/>
          <w:szCs w:val="20"/>
        </w:rPr>
        <w:t xml:space="preserve">For the week ending </w:t>
      </w:r>
      <w:r w:rsidR="00B40E65">
        <w:rPr>
          <w:rFonts w:asciiTheme="minorHAnsi" w:hAnsiTheme="minorHAnsi" w:cstheme="minorHAnsi"/>
          <w:sz w:val="20"/>
          <w:szCs w:val="20"/>
        </w:rPr>
        <w:t>24</w:t>
      </w:r>
      <w:r>
        <w:rPr>
          <w:rFonts w:asciiTheme="minorHAnsi" w:hAnsiTheme="minorHAnsi" w:cstheme="minorHAnsi"/>
          <w:sz w:val="20"/>
          <w:szCs w:val="20"/>
        </w:rPr>
        <w:t xml:space="preserve"> October 2012</w:t>
      </w:r>
      <w:r w:rsidRPr="00166BBE">
        <w:rPr>
          <w:rFonts w:asciiTheme="minorHAnsi" w:hAnsiTheme="minorHAnsi" w:cstheme="minorHAnsi"/>
          <w:sz w:val="20"/>
          <w:szCs w:val="20"/>
        </w:rPr>
        <w:t>,</w:t>
      </w:r>
      <w:r w:rsidR="006654A7" w:rsidRPr="00166BBE">
        <w:rPr>
          <w:rFonts w:asciiTheme="minorHAnsi" w:hAnsiTheme="minorHAnsi" w:cstheme="minorHAnsi"/>
          <w:sz w:val="20"/>
          <w:szCs w:val="20"/>
        </w:rPr>
        <w:t xml:space="preserve"> </w:t>
      </w:r>
      <w:r w:rsidR="00166BBE">
        <w:rPr>
          <w:rFonts w:asciiTheme="minorHAnsi" w:hAnsiTheme="minorHAnsi" w:cstheme="minorHAnsi"/>
          <w:sz w:val="20"/>
          <w:szCs w:val="20"/>
        </w:rPr>
        <w:t xml:space="preserve">light, patchy rain was scattered across </w:t>
      </w:r>
      <w:r w:rsidR="00166BBE" w:rsidRPr="00166BBE">
        <w:rPr>
          <w:rFonts w:asciiTheme="minorHAnsi" w:hAnsiTheme="minorHAnsi" w:cstheme="minorHAnsi"/>
          <w:sz w:val="20"/>
          <w:szCs w:val="20"/>
        </w:rPr>
        <w:t>the co</w:t>
      </w:r>
      <w:r w:rsidR="00E13C25">
        <w:rPr>
          <w:rFonts w:asciiTheme="minorHAnsi" w:hAnsiTheme="minorHAnsi" w:cstheme="minorHAnsi"/>
          <w:sz w:val="20"/>
          <w:szCs w:val="20"/>
        </w:rPr>
        <w:t>ntinent. Medium to heavy fa</w:t>
      </w:r>
      <w:r w:rsidR="00166BBE" w:rsidRPr="00166BBE">
        <w:rPr>
          <w:rFonts w:asciiTheme="minorHAnsi" w:hAnsiTheme="minorHAnsi" w:cstheme="minorHAnsi"/>
          <w:sz w:val="20"/>
          <w:szCs w:val="20"/>
        </w:rPr>
        <w:t>ll</w:t>
      </w:r>
      <w:r w:rsidR="00E13C25">
        <w:rPr>
          <w:rFonts w:asciiTheme="minorHAnsi" w:hAnsiTheme="minorHAnsi" w:cstheme="minorHAnsi"/>
          <w:sz w:val="20"/>
          <w:szCs w:val="20"/>
        </w:rPr>
        <w:t>s were recorded in</w:t>
      </w:r>
      <w:r w:rsidR="00166BBE" w:rsidRPr="00166BBE">
        <w:rPr>
          <w:rFonts w:asciiTheme="minorHAnsi" w:hAnsiTheme="minorHAnsi" w:cstheme="minorHAnsi"/>
          <w:sz w:val="20"/>
          <w:szCs w:val="20"/>
        </w:rPr>
        <w:t xml:space="preserve"> the far north with more than 200 mm falling on the tip of Cape York</w:t>
      </w:r>
      <w:r w:rsidRPr="00166BBE">
        <w:rPr>
          <w:rFonts w:cs="Arial"/>
          <w:sz w:val="20"/>
          <w:szCs w:val="20"/>
        </w:rPr>
        <w:t xml:space="preserve">. </w:t>
      </w:r>
      <w:r w:rsidR="00166BBE" w:rsidRPr="00166BBE">
        <w:rPr>
          <w:rFonts w:cs="Arial"/>
          <w:sz w:val="20"/>
          <w:szCs w:val="20"/>
        </w:rPr>
        <w:t>Moderate</w:t>
      </w:r>
      <w:r w:rsidR="00166BBE">
        <w:rPr>
          <w:rFonts w:cs="Arial"/>
          <w:sz w:val="20"/>
          <w:szCs w:val="20"/>
        </w:rPr>
        <w:t xml:space="preserve"> falls were recorded in Tasmania and south-west Western Australia. </w:t>
      </w:r>
      <w:r>
        <w:rPr>
          <w:rFonts w:cs="Arial"/>
          <w:sz w:val="20"/>
          <w:szCs w:val="20"/>
        </w:rPr>
        <w:t>The</w:t>
      </w:r>
      <w:r>
        <w:rPr>
          <w:rFonts w:asciiTheme="minorHAnsi" w:hAnsiTheme="minorHAnsi" w:cstheme="minorHAnsi"/>
          <w:sz w:val="20"/>
          <w:szCs w:val="20"/>
        </w:rPr>
        <w:t xml:space="preserve"> </w:t>
      </w:r>
      <w:r>
        <w:rPr>
          <w:rFonts w:cs="Arial"/>
          <w:sz w:val="20"/>
          <w:szCs w:val="20"/>
        </w:rPr>
        <w:t xml:space="preserve">highest measured rainfall total for the week </w:t>
      </w:r>
      <w:r w:rsidRPr="006654A7">
        <w:rPr>
          <w:rFonts w:cs="Arial"/>
          <w:sz w:val="20"/>
          <w:szCs w:val="20"/>
        </w:rPr>
        <w:t xml:space="preserve">was </w:t>
      </w:r>
      <w:r w:rsidR="006654A7" w:rsidRPr="006654A7">
        <w:rPr>
          <w:rFonts w:cs="Arial"/>
          <w:sz w:val="20"/>
          <w:szCs w:val="20"/>
        </w:rPr>
        <w:t xml:space="preserve">118.6 </w:t>
      </w:r>
      <w:r w:rsidRPr="006654A7">
        <w:rPr>
          <w:rFonts w:cs="Arial"/>
          <w:sz w:val="20"/>
          <w:szCs w:val="20"/>
        </w:rPr>
        <w:t xml:space="preserve">millimetres at </w:t>
      </w:r>
      <w:r w:rsidR="006654A7" w:rsidRPr="006654A7">
        <w:rPr>
          <w:rFonts w:cs="Arial"/>
          <w:sz w:val="20"/>
          <w:szCs w:val="20"/>
        </w:rPr>
        <w:t>Horn Island in the Torres Strait</w:t>
      </w:r>
      <w:r w:rsidRPr="006654A7">
        <w:rPr>
          <w:rFonts w:cs="Arial"/>
          <w:sz w:val="20"/>
          <w:szCs w:val="20"/>
        </w:rPr>
        <w:t>. For furth</w:t>
      </w:r>
      <w:r>
        <w:rPr>
          <w:rFonts w:cs="Arial"/>
          <w:sz w:val="20"/>
          <w:szCs w:val="20"/>
        </w:rPr>
        <w:t xml:space="preserve">er information, go to </w:t>
      </w:r>
      <w:hyperlink r:id="rId10" w:history="1">
        <w:r>
          <w:rPr>
            <w:rStyle w:val="Hyperlink"/>
            <w:rFonts w:cs="Arial"/>
            <w:sz w:val="20"/>
            <w:szCs w:val="20"/>
          </w:rPr>
          <w:t>www.bom.gov.au/climate/current/weeklyrain.shtml</w:t>
        </w:r>
      </w:hyperlink>
      <w:r>
        <w:rPr>
          <w:rFonts w:cs="Arial"/>
          <w:sz w:val="20"/>
          <w:szCs w:val="20"/>
        </w:rPr>
        <w:t>.</w:t>
      </w:r>
    </w:p>
    <w:p w:rsidR="00D147ED" w:rsidRDefault="000E7BB7">
      <w:pPr>
        <w:pStyle w:val="Heading4"/>
        <w:jc w:val="center"/>
        <w:rPr>
          <w:rFonts w:ascii="Calibri" w:hAnsi="Calibri" w:cs="Arial"/>
          <w:i w:val="0"/>
          <w:color w:val="auto"/>
        </w:rPr>
      </w:pPr>
      <w:r>
        <w:rPr>
          <w:rFonts w:ascii="Calibri" w:hAnsi="Calibri" w:cs="Arial"/>
          <w:i w:val="0"/>
          <w:color w:val="auto"/>
        </w:rPr>
        <w:t xml:space="preserve">Rainfall for the week ending </w:t>
      </w:r>
      <w:r w:rsidR="00B40E65">
        <w:rPr>
          <w:rFonts w:ascii="Calibri" w:hAnsi="Calibri" w:cs="Arial"/>
          <w:i w:val="0"/>
          <w:color w:val="auto"/>
        </w:rPr>
        <w:t>24</w:t>
      </w:r>
      <w:r>
        <w:rPr>
          <w:rFonts w:ascii="Calibri" w:hAnsi="Calibri" w:cs="Arial"/>
          <w:i w:val="0"/>
          <w:color w:val="auto"/>
        </w:rPr>
        <w:t xml:space="preserve"> October 2012</w:t>
      </w:r>
    </w:p>
    <w:p w:rsidR="00D147ED" w:rsidRDefault="000E7BB7">
      <w:pPr>
        <w:jc w:val="center"/>
        <w:rPr>
          <w:rFonts w:ascii="Calibri" w:hAnsi="Calibri"/>
          <w:noProof/>
        </w:rPr>
      </w:pPr>
      <w:r>
        <w:rPr>
          <w:noProof/>
        </w:rPr>
        <w:drawing>
          <wp:inline distT="0" distB="0" distL="0" distR="0">
            <wp:extent cx="4999696" cy="3340505"/>
            <wp:effectExtent l="19050" t="19050" r="10454" b="12295"/>
            <wp:docPr id="1" name="Picture 1" descr="For the week ending 24 October 2012, light, patchy rain was scattered across the continent. Medium to heavy rain fell over parts of the far north with more than 200 mm falling on the tip of Cape York. Moderate falls were recorded in Tasmania and south-west Western Australia. The highest measured rainfall total for the week was 118.6 millimetres at Horn Island in the Torres 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rainfall for the week ending 6 June 2012. Rainfall was recorded mainly across southeast and northeast Australia, with particularly heavy rainfalls in south east Victoria. Little to no rainfall was recorded across most of central and Western Australia, except in the very southwestern coastal area of Western Australia where rainfalls over 100 mm were recorded. Image provided by the Bureau of Meteorology."/>
                    <pic:cNvPicPr>
                      <a:picLocks noChangeAspect="1" noChangeArrowheads="1"/>
                    </pic:cNvPicPr>
                  </pic:nvPicPr>
                  <pic:blipFill>
                    <a:blip r:embed="rId11" cstate="print"/>
                    <a:stretch>
                      <a:fillRect/>
                    </a:stretch>
                  </pic:blipFill>
                  <pic:spPr bwMode="auto">
                    <a:xfrm>
                      <a:off x="0" y="0"/>
                      <a:ext cx="4999696" cy="3340505"/>
                    </a:xfrm>
                    <a:prstGeom prst="rect">
                      <a:avLst/>
                    </a:prstGeom>
                    <a:noFill/>
                    <a:ln w="6350" cmpd="sng">
                      <a:solidFill>
                        <a:srgbClr val="000000"/>
                      </a:solidFill>
                      <a:miter lim="800000"/>
                      <a:headEnd/>
                      <a:tailEnd/>
                    </a:ln>
                    <a:effectLst/>
                  </pic:spPr>
                </pic:pic>
              </a:graphicData>
            </a:graphic>
          </wp:inline>
        </w:drawing>
      </w:r>
    </w:p>
    <w:p w:rsidR="00D147ED" w:rsidRDefault="000E7BB7">
      <w:pPr>
        <w:jc w:val="center"/>
        <w:rPr>
          <w:rFonts w:ascii="Calibri" w:hAnsi="Calibri" w:cs="Arial"/>
          <w:sz w:val="16"/>
          <w:szCs w:val="16"/>
        </w:rPr>
      </w:pPr>
      <w:r>
        <w:rPr>
          <w:rFonts w:ascii="Calibri" w:hAnsi="Calibri" w:cs="Calibri"/>
          <w:b/>
          <w:sz w:val="16"/>
          <w:szCs w:val="16"/>
        </w:rPr>
        <w:t>©Commonwealth of Australia 2012, Australia Bureau of Meteorology</w:t>
      </w:r>
      <w:r>
        <w:rPr>
          <w:rFonts w:ascii="Calibri" w:hAnsi="Calibri" w:cs="Calibri"/>
          <w:color w:val="0070C0"/>
          <w:sz w:val="16"/>
          <w:szCs w:val="16"/>
        </w:rPr>
        <w:t xml:space="preserve"> </w:t>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b/>
          <w:sz w:val="16"/>
          <w:szCs w:val="16"/>
        </w:rPr>
        <w:t xml:space="preserve">Issued: </w:t>
      </w:r>
      <w:r w:rsidR="00B40E65">
        <w:rPr>
          <w:rFonts w:ascii="Calibri" w:hAnsi="Calibri" w:cs="Calibri"/>
          <w:b/>
          <w:sz w:val="16"/>
          <w:szCs w:val="16"/>
        </w:rPr>
        <w:t>24</w:t>
      </w:r>
      <w:r>
        <w:rPr>
          <w:rFonts w:ascii="Calibri" w:hAnsi="Calibri" w:cs="Calibri"/>
          <w:b/>
          <w:sz w:val="16"/>
          <w:szCs w:val="16"/>
        </w:rPr>
        <w:t>/10/2012</w:t>
      </w:r>
    </w:p>
    <w:p w:rsidR="00F93F10" w:rsidRDefault="00F93F10">
      <w:pPr>
        <w:rPr>
          <w:rFonts w:ascii="Cambria" w:hAnsi="Cambria" w:cs="Arial"/>
          <w:b/>
          <w:bCs/>
          <w:sz w:val="28"/>
          <w:szCs w:val="28"/>
        </w:rPr>
      </w:pPr>
      <w:r>
        <w:rPr>
          <w:rFonts w:cs="Arial"/>
          <w:sz w:val="28"/>
          <w:szCs w:val="28"/>
        </w:rPr>
        <w:br w:type="page"/>
      </w:r>
    </w:p>
    <w:p w:rsidR="00D147ED" w:rsidRDefault="000E7BB7">
      <w:pPr>
        <w:pStyle w:val="Heading3"/>
        <w:numPr>
          <w:ilvl w:val="1"/>
          <w:numId w:val="4"/>
        </w:numPr>
        <w:spacing w:before="360" w:line="276" w:lineRule="auto"/>
        <w:ind w:left="709" w:hanging="709"/>
        <w:rPr>
          <w:rFonts w:cs="Arial"/>
          <w:color w:val="auto"/>
          <w:sz w:val="28"/>
          <w:szCs w:val="28"/>
        </w:rPr>
      </w:pPr>
      <w:r>
        <w:rPr>
          <w:rFonts w:cs="Arial"/>
          <w:color w:val="auto"/>
          <w:sz w:val="28"/>
          <w:szCs w:val="28"/>
        </w:rPr>
        <w:lastRenderedPageBreak/>
        <w:t>Temperature anomalies this week</w:t>
      </w:r>
    </w:p>
    <w:p w:rsidR="00D147ED" w:rsidRDefault="000E7BB7">
      <w:pPr>
        <w:rPr>
          <w:rFonts w:ascii="Calibri" w:hAnsi="Calibri"/>
        </w:rPr>
      </w:pPr>
      <w:r>
        <w:rPr>
          <w:rFonts w:ascii="Calibri" w:hAnsi="Calibri" w:cs="Arial"/>
          <w:sz w:val="20"/>
          <w:szCs w:val="20"/>
        </w:rPr>
        <w:t xml:space="preserve">Spatial temperature analyses are based on historical weekly temperature data provided by the Bureau of Meteorology. These temperature anomaly maps show the departure of the maximum and minimum from the long-term average. Temperature anomalies are calculated using high resolution gridded datasets from 1911 onwards. For further information on temperature anomalies, go to </w:t>
      </w:r>
      <w:hyperlink r:id="rId12" w:history="1">
        <w:r>
          <w:rPr>
            <w:rStyle w:val="Hyperlink"/>
            <w:rFonts w:ascii="Calibri" w:hAnsi="Calibri" w:cs="Arial"/>
            <w:sz w:val="20"/>
            <w:szCs w:val="20"/>
          </w:rPr>
          <w:t>www.bom.gov.au/jsp/awap/</w:t>
        </w:r>
      </w:hyperlink>
      <w:r>
        <w:rPr>
          <w:rFonts w:ascii="Calibri" w:hAnsi="Calibri"/>
        </w:rPr>
        <w:t>.</w:t>
      </w:r>
    </w:p>
    <w:p w:rsidR="00D147ED" w:rsidRDefault="000E7BB7" w:rsidP="00055882">
      <w:pPr>
        <w:pStyle w:val="Heading4"/>
        <w:spacing w:before="360"/>
        <w:jc w:val="center"/>
        <w:rPr>
          <w:rFonts w:ascii="Calibri" w:hAnsi="Calibri" w:cs="Arial"/>
          <w:i w:val="0"/>
          <w:color w:val="auto"/>
        </w:rPr>
      </w:pPr>
      <w:r>
        <w:rPr>
          <w:rFonts w:ascii="Calibri" w:hAnsi="Calibri" w:cs="Arial"/>
          <w:i w:val="0"/>
          <w:color w:val="auto"/>
        </w:rPr>
        <w:t xml:space="preserve">Maximum temperature anomalies for the week ending </w:t>
      </w:r>
      <w:r w:rsidR="00940B29">
        <w:rPr>
          <w:rFonts w:ascii="Calibri" w:hAnsi="Calibri" w:cs="Arial"/>
          <w:i w:val="0"/>
          <w:color w:val="auto"/>
        </w:rPr>
        <w:t>23</w:t>
      </w:r>
      <w:r>
        <w:rPr>
          <w:rFonts w:ascii="Calibri" w:hAnsi="Calibri" w:cs="Arial"/>
          <w:i w:val="0"/>
          <w:color w:val="auto"/>
        </w:rPr>
        <w:t xml:space="preserve"> October 2012</w:t>
      </w:r>
    </w:p>
    <w:p w:rsidR="00D147ED" w:rsidRDefault="000E7BB7">
      <w:pPr>
        <w:jc w:val="center"/>
        <w:rPr>
          <w:rFonts w:ascii="Calibri" w:hAnsi="Calibri" w:cs="Arial"/>
          <w:sz w:val="18"/>
          <w:szCs w:val="18"/>
        </w:rPr>
      </w:pPr>
      <w:r>
        <w:rPr>
          <w:noProof/>
        </w:rPr>
        <w:drawing>
          <wp:inline distT="0" distB="0" distL="0" distR="0">
            <wp:extent cx="5055410" cy="3382719"/>
            <wp:effectExtent l="19050" t="19050" r="11890" b="27231"/>
            <wp:docPr id="2" name="Picture 2" descr="Map showing maximum temperature anomalies for the week ending 23 October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maximum temperature anomalies for the week ending 5 June 2012. Image provided by the Bureau of Meteorology"/>
                    <pic:cNvPicPr>
                      <a:picLocks noChangeAspect="1" noChangeArrowheads="1"/>
                    </pic:cNvPicPr>
                  </pic:nvPicPr>
                  <pic:blipFill>
                    <a:blip r:embed="rId13" cstate="print"/>
                    <a:stretch>
                      <a:fillRect/>
                    </a:stretch>
                  </pic:blipFill>
                  <pic:spPr bwMode="auto">
                    <a:xfrm>
                      <a:off x="0" y="0"/>
                      <a:ext cx="5055410" cy="3382719"/>
                    </a:xfrm>
                    <a:prstGeom prst="rect">
                      <a:avLst/>
                    </a:prstGeom>
                    <a:noFill/>
                    <a:ln w="6350" cmpd="sng">
                      <a:solidFill>
                        <a:srgbClr val="000000"/>
                      </a:solidFill>
                      <a:miter lim="800000"/>
                      <a:headEnd/>
                      <a:tailEnd/>
                    </a:ln>
                    <a:effectLst/>
                  </pic:spPr>
                </pic:pic>
              </a:graphicData>
            </a:graphic>
          </wp:inline>
        </w:drawing>
      </w:r>
    </w:p>
    <w:p w:rsidR="00D147ED" w:rsidRDefault="000E7BB7">
      <w:pPr>
        <w:jc w:val="center"/>
        <w:rPr>
          <w:rFonts w:ascii="Calibri" w:hAnsi="Calibri" w:cs="Arial"/>
          <w:sz w:val="16"/>
          <w:szCs w:val="16"/>
        </w:rPr>
      </w:pPr>
      <w:r>
        <w:rPr>
          <w:rFonts w:ascii="Calibri" w:hAnsi="Calibri" w:cs="Calibri"/>
          <w:b/>
          <w:sz w:val="16"/>
          <w:szCs w:val="16"/>
        </w:rPr>
        <w:t>©Commonwealth of Australia 2012, Australia Bureau of Meteorology</w:t>
      </w:r>
      <w:r>
        <w:rPr>
          <w:rFonts w:ascii="Calibri" w:hAnsi="Calibri" w:cs="Calibri"/>
          <w:color w:val="0070C0"/>
          <w:sz w:val="16"/>
          <w:szCs w:val="16"/>
        </w:rPr>
        <w:t xml:space="preserve"> </w:t>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b/>
          <w:sz w:val="16"/>
          <w:szCs w:val="16"/>
        </w:rPr>
        <w:t xml:space="preserve">Issued: </w:t>
      </w:r>
      <w:r w:rsidR="00B40E65">
        <w:rPr>
          <w:rFonts w:ascii="Calibri" w:hAnsi="Calibri" w:cs="Calibri"/>
          <w:b/>
          <w:sz w:val="16"/>
          <w:szCs w:val="16"/>
        </w:rPr>
        <w:t>24</w:t>
      </w:r>
      <w:r>
        <w:rPr>
          <w:rFonts w:ascii="Calibri" w:hAnsi="Calibri" w:cs="Calibri"/>
          <w:b/>
          <w:sz w:val="16"/>
          <w:szCs w:val="16"/>
        </w:rPr>
        <w:t>/10/2012</w:t>
      </w:r>
    </w:p>
    <w:p w:rsidR="00D147ED" w:rsidRDefault="000E7BB7" w:rsidP="00935BF0">
      <w:pPr>
        <w:pStyle w:val="Heading4"/>
        <w:spacing w:before="480"/>
        <w:jc w:val="center"/>
        <w:rPr>
          <w:rFonts w:ascii="Calibri" w:hAnsi="Calibri" w:cs="Arial"/>
          <w:i w:val="0"/>
          <w:color w:val="auto"/>
        </w:rPr>
      </w:pPr>
      <w:r>
        <w:rPr>
          <w:rFonts w:ascii="Calibri" w:hAnsi="Calibri" w:cs="Arial"/>
          <w:i w:val="0"/>
          <w:color w:val="auto"/>
        </w:rPr>
        <w:t xml:space="preserve">Minimum temperature anomalies for the week ending </w:t>
      </w:r>
      <w:r w:rsidR="00940B29">
        <w:rPr>
          <w:rFonts w:ascii="Calibri" w:hAnsi="Calibri" w:cs="Arial"/>
          <w:i w:val="0"/>
          <w:color w:val="auto"/>
        </w:rPr>
        <w:t>23</w:t>
      </w:r>
      <w:r>
        <w:rPr>
          <w:rFonts w:ascii="Calibri" w:hAnsi="Calibri" w:cs="Arial"/>
          <w:i w:val="0"/>
          <w:color w:val="auto"/>
        </w:rPr>
        <w:t xml:space="preserve"> October 2012</w:t>
      </w:r>
    </w:p>
    <w:p w:rsidR="00D147ED" w:rsidRDefault="000E7BB7">
      <w:pPr>
        <w:jc w:val="center"/>
        <w:rPr>
          <w:rFonts w:cs="Arial"/>
          <w:sz w:val="28"/>
          <w:szCs w:val="28"/>
          <w:highlight w:val="lightGray"/>
        </w:rPr>
      </w:pPr>
      <w:r>
        <w:rPr>
          <w:noProof/>
        </w:rPr>
        <w:drawing>
          <wp:inline distT="0" distB="0" distL="0" distR="0">
            <wp:extent cx="5106438" cy="3416863"/>
            <wp:effectExtent l="19050" t="19050" r="18012" b="12137"/>
            <wp:docPr id="3" name="Picture 3" descr="Map showing minimum temperature anomalies for the week ending 23 October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minimum temperature anomalies for the week ending 5 June 2012. Image provided by the Bureau of Meteorology"/>
                    <pic:cNvPicPr>
                      <a:picLocks noChangeAspect="1" noChangeArrowheads="1"/>
                    </pic:cNvPicPr>
                  </pic:nvPicPr>
                  <pic:blipFill>
                    <a:blip r:embed="rId14" cstate="print"/>
                    <a:stretch>
                      <a:fillRect/>
                    </a:stretch>
                  </pic:blipFill>
                  <pic:spPr bwMode="auto">
                    <a:xfrm>
                      <a:off x="0" y="0"/>
                      <a:ext cx="5106438" cy="3416863"/>
                    </a:xfrm>
                    <a:prstGeom prst="rect">
                      <a:avLst/>
                    </a:prstGeom>
                    <a:noFill/>
                    <a:ln w="6350" cmpd="sng">
                      <a:solidFill>
                        <a:srgbClr val="000000"/>
                      </a:solidFill>
                      <a:miter lim="800000"/>
                      <a:headEnd/>
                      <a:tailEnd/>
                    </a:ln>
                    <a:effectLst/>
                  </pic:spPr>
                </pic:pic>
              </a:graphicData>
            </a:graphic>
          </wp:inline>
        </w:drawing>
      </w:r>
    </w:p>
    <w:p w:rsidR="00D147ED" w:rsidRDefault="000E7BB7">
      <w:pPr>
        <w:jc w:val="center"/>
        <w:rPr>
          <w:rFonts w:cs="Arial"/>
          <w:sz w:val="16"/>
          <w:szCs w:val="16"/>
          <w:highlight w:val="lightGray"/>
        </w:rPr>
      </w:pPr>
      <w:r>
        <w:rPr>
          <w:rFonts w:ascii="Calibri" w:hAnsi="Calibri" w:cs="Calibri"/>
          <w:b/>
          <w:sz w:val="16"/>
          <w:szCs w:val="16"/>
        </w:rPr>
        <w:t>©Commonwealth of Australia 2012, Australia Bureau of Meteorology</w:t>
      </w:r>
      <w:r>
        <w:rPr>
          <w:rFonts w:ascii="Calibri" w:hAnsi="Calibri" w:cs="Calibri"/>
          <w:color w:val="0070C0"/>
          <w:sz w:val="16"/>
          <w:szCs w:val="16"/>
        </w:rPr>
        <w:t xml:space="preserve"> </w:t>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b/>
          <w:sz w:val="16"/>
          <w:szCs w:val="16"/>
        </w:rPr>
        <w:t xml:space="preserve">Issued: </w:t>
      </w:r>
      <w:r w:rsidR="00B40E65">
        <w:rPr>
          <w:rFonts w:ascii="Calibri" w:hAnsi="Calibri" w:cs="Calibri"/>
          <w:b/>
          <w:sz w:val="16"/>
          <w:szCs w:val="16"/>
        </w:rPr>
        <w:t>24</w:t>
      </w:r>
      <w:r>
        <w:rPr>
          <w:rFonts w:ascii="Calibri" w:hAnsi="Calibri" w:cs="Calibri"/>
          <w:b/>
          <w:sz w:val="16"/>
          <w:szCs w:val="16"/>
        </w:rPr>
        <w:t>/10/2012</w:t>
      </w:r>
    </w:p>
    <w:p w:rsidR="00D147ED" w:rsidRDefault="000E7BB7">
      <w:pPr>
        <w:jc w:val="center"/>
        <w:rPr>
          <w:rFonts w:ascii="Calibri" w:hAnsi="Calibri"/>
          <w:snapToGrid w:val="0"/>
          <w:w w:val="0"/>
          <w:sz w:val="0"/>
          <w:szCs w:val="0"/>
          <w:u w:color="000000"/>
          <w:bdr w:val="none" w:sz="0" w:space="0" w:color="000000"/>
          <w:shd w:val="clear" w:color="000000" w:fill="000000"/>
        </w:rPr>
      </w:pPr>
      <w:r>
        <w:rPr>
          <w:rFonts w:cs="Arial"/>
          <w:sz w:val="28"/>
          <w:szCs w:val="28"/>
          <w:highlight w:val="lightGray"/>
        </w:rPr>
        <w:br w:type="page"/>
      </w:r>
    </w:p>
    <w:p w:rsidR="00D147ED" w:rsidRDefault="000E7BB7" w:rsidP="00E13C25">
      <w:pPr>
        <w:pStyle w:val="Heading3"/>
        <w:numPr>
          <w:ilvl w:val="1"/>
          <w:numId w:val="4"/>
        </w:numPr>
        <w:spacing w:before="0" w:line="276" w:lineRule="auto"/>
        <w:ind w:left="709" w:hanging="709"/>
        <w:rPr>
          <w:rFonts w:cs="Arial"/>
          <w:color w:val="auto"/>
          <w:sz w:val="28"/>
          <w:szCs w:val="28"/>
        </w:rPr>
      </w:pPr>
      <w:r>
        <w:rPr>
          <w:rFonts w:cs="Arial"/>
          <w:color w:val="auto"/>
          <w:sz w:val="28"/>
          <w:szCs w:val="28"/>
        </w:rPr>
        <w:lastRenderedPageBreak/>
        <w:t>Rainfall outlook</w:t>
      </w:r>
    </w:p>
    <w:p w:rsidR="00D147ED" w:rsidRDefault="000E7BB7">
      <w:pPr>
        <w:rPr>
          <w:rFonts w:ascii="Calibri" w:hAnsi="Calibri" w:cs="Arial"/>
          <w:sz w:val="20"/>
          <w:szCs w:val="20"/>
        </w:rPr>
      </w:pPr>
      <w:r>
        <w:rPr>
          <w:rFonts w:ascii="Calibri" w:hAnsi="Calibri" w:cs="Arial"/>
          <w:sz w:val="20"/>
          <w:szCs w:val="20"/>
        </w:rPr>
        <w:t>The rainfall forecast below is produced from computer models. As it contains no input from weather forecasters, it is important to also check local forecasts and warnings by the Bureau of Meteorology.</w:t>
      </w:r>
    </w:p>
    <w:p w:rsidR="00D147ED" w:rsidRDefault="000E7BB7" w:rsidP="00E13C25">
      <w:pPr>
        <w:pStyle w:val="Heading4"/>
        <w:spacing w:before="120"/>
        <w:jc w:val="center"/>
        <w:rPr>
          <w:rFonts w:ascii="Calibri" w:hAnsi="Calibri" w:cs="Arial"/>
          <w:i w:val="0"/>
          <w:color w:val="auto"/>
        </w:rPr>
      </w:pPr>
      <w:r>
        <w:rPr>
          <w:rFonts w:ascii="Calibri" w:hAnsi="Calibri" w:cs="Arial"/>
          <w:i w:val="0"/>
          <w:color w:val="auto"/>
        </w:rPr>
        <w:t xml:space="preserve">Total forecast rainfall for the period </w:t>
      </w:r>
      <w:r w:rsidR="00B40E65">
        <w:rPr>
          <w:rFonts w:ascii="Calibri" w:hAnsi="Calibri" w:cs="Arial"/>
          <w:i w:val="0"/>
          <w:color w:val="auto"/>
        </w:rPr>
        <w:t>25</w:t>
      </w:r>
      <w:r>
        <w:rPr>
          <w:rFonts w:ascii="Calibri" w:hAnsi="Calibri" w:cs="Arial"/>
          <w:i w:val="0"/>
          <w:color w:val="auto"/>
        </w:rPr>
        <w:t xml:space="preserve"> </w:t>
      </w:r>
      <w:r w:rsidR="00B40E65">
        <w:rPr>
          <w:rFonts w:ascii="Calibri" w:hAnsi="Calibri" w:cs="Arial"/>
          <w:i w:val="0"/>
          <w:color w:val="auto"/>
        </w:rPr>
        <w:t>October to 1 Novem</w:t>
      </w:r>
      <w:r>
        <w:rPr>
          <w:rFonts w:ascii="Calibri" w:hAnsi="Calibri" w:cs="Arial"/>
          <w:i w:val="0"/>
          <w:color w:val="auto"/>
        </w:rPr>
        <w:t>ber 2012</w:t>
      </w:r>
    </w:p>
    <w:p w:rsidR="00D147ED" w:rsidRDefault="000E7BB7">
      <w:pPr>
        <w:jc w:val="center"/>
      </w:pPr>
      <w:r>
        <w:rPr>
          <w:noProof/>
        </w:rPr>
        <w:drawing>
          <wp:inline distT="0" distB="0" distL="0" distR="0">
            <wp:extent cx="5183416" cy="3479903"/>
            <wp:effectExtent l="19050" t="19050" r="17234" b="25297"/>
            <wp:docPr id="14" name="Picture 12" descr="Map showing total forecast rainfall for the period 25 October to 1 November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showing total forecast rainfall for the period 7 to 14 June 2012. Image provided by the Bureau of Meteorology."/>
                    <pic:cNvPicPr>
                      <a:picLocks noChangeAspect="1" noChangeArrowheads="1"/>
                    </pic:cNvPicPr>
                  </pic:nvPicPr>
                  <pic:blipFill>
                    <a:blip r:embed="rId15" cstate="print"/>
                    <a:stretch>
                      <a:fillRect/>
                    </a:stretch>
                  </pic:blipFill>
                  <pic:spPr bwMode="auto">
                    <a:xfrm>
                      <a:off x="0" y="0"/>
                      <a:ext cx="5183416" cy="3479903"/>
                    </a:xfrm>
                    <a:prstGeom prst="rect">
                      <a:avLst/>
                    </a:prstGeom>
                    <a:noFill/>
                    <a:ln w="6350" cmpd="sng">
                      <a:solidFill>
                        <a:srgbClr val="000000"/>
                      </a:solidFill>
                      <a:miter lim="800000"/>
                      <a:headEnd/>
                      <a:tailEnd/>
                    </a:ln>
                    <a:effectLst/>
                  </pic:spPr>
                </pic:pic>
              </a:graphicData>
            </a:graphic>
          </wp:inline>
        </w:drawing>
      </w:r>
    </w:p>
    <w:p w:rsidR="00CE2261" w:rsidRDefault="000E7BB7" w:rsidP="00CE2261">
      <w:pPr>
        <w:jc w:val="center"/>
      </w:pPr>
      <w:r>
        <w:rPr>
          <w:rFonts w:ascii="Calibri" w:hAnsi="Calibri" w:cs="Calibri"/>
          <w:b/>
          <w:sz w:val="16"/>
          <w:szCs w:val="16"/>
        </w:rPr>
        <w:t>©Commonwealth of Australia 2012, Australia Bureau of Meteorology</w:t>
      </w:r>
      <w:r>
        <w:rPr>
          <w:rFonts w:ascii="Calibri" w:hAnsi="Calibri" w:cs="Calibri"/>
          <w:color w:val="0070C0"/>
          <w:sz w:val="16"/>
          <w:szCs w:val="16"/>
        </w:rPr>
        <w:t xml:space="preserve"> </w:t>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color w:val="0070C0"/>
          <w:sz w:val="16"/>
          <w:szCs w:val="16"/>
        </w:rPr>
        <w:tab/>
      </w:r>
      <w:r>
        <w:rPr>
          <w:rFonts w:ascii="Calibri" w:hAnsi="Calibri" w:cs="Calibri"/>
          <w:b/>
          <w:sz w:val="16"/>
          <w:szCs w:val="16"/>
        </w:rPr>
        <w:t xml:space="preserve">Issued: </w:t>
      </w:r>
      <w:r w:rsidR="00B40E65">
        <w:rPr>
          <w:rFonts w:ascii="Calibri" w:hAnsi="Calibri" w:cs="Calibri"/>
          <w:b/>
          <w:sz w:val="16"/>
          <w:szCs w:val="16"/>
        </w:rPr>
        <w:t>24</w:t>
      </w:r>
      <w:r>
        <w:rPr>
          <w:rFonts w:ascii="Calibri" w:hAnsi="Calibri" w:cs="Calibri"/>
          <w:b/>
          <w:sz w:val="16"/>
          <w:szCs w:val="16"/>
        </w:rPr>
        <w:t>/10/2012</w:t>
      </w:r>
    </w:p>
    <w:p w:rsidR="00CE2261" w:rsidRDefault="00CE2261" w:rsidP="00E13C25">
      <w:pPr>
        <w:pStyle w:val="Heading3"/>
        <w:numPr>
          <w:ilvl w:val="1"/>
          <w:numId w:val="4"/>
        </w:numPr>
        <w:spacing w:before="240" w:line="276" w:lineRule="auto"/>
        <w:ind w:left="709" w:hanging="709"/>
        <w:rPr>
          <w:rFonts w:cs="Arial"/>
          <w:color w:val="auto"/>
          <w:sz w:val="28"/>
          <w:szCs w:val="28"/>
        </w:rPr>
      </w:pPr>
      <w:r>
        <w:rPr>
          <w:rFonts w:cs="Arial"/>
          <w:color w:val="auto"/>
          <w:sz w:val="28"/>
          <w:szCs w:val="28"/>
        </w:rPr>
        <w:t>Seasonal outlook</w:t>
      </w:r>
    </w:p>
    <w:p w:rsidR="00E13C25" w:rsidRDefault="00CE2261" w:rsidP="00E13C25">
      <w:pPr>
        <w:pStyle w:val="NoSpacing"/>
        <w:spacing w:before="120"/>
        <w:jc w:val="center"/>
        <w:rPr>
          <w:rFonts w:eastAsia="Times New Roman" w:cs="Arial"/>
          <w:b/>
          <w:bCs/>
          <w:iCs/>
          <w:sz w:val="24"/>
          <w:szCs w:val="24"/>
        </w:rPr>
      </w:pPr>
      <w:r>
        <w:rPr>
          <w:rFonts w:eastAsia="Times New Roman" w:cs="Arial"/>
          <w:b/>
          <w:bCs/>
          <w:iCs/>
          <w:sz w:val="24"/>
          <w:szCs w:val="24"/>
        </w:rPr>
        <w:t>Chance of exce</w:t>
      </w:r>
      <w:r w:rsidR="00E13C25">
        <w:rPr>
          <w:rFonts w:eastAsia="Times New Roman" w:cs="Arial"/>
          <w:b/>
          <w:bCs/>
          <w:iCs/>
          <w:sz w:val="24"/>
          <w:szCs w:val="24"/>
        </w:rPr>
        <w:t>eding the median rainfall</w:t>
      </w:r>
    </w:p>
    <w:p w:rsidR="00CE2261" w:rsidRDefault="004310DF" w:rsidP="00E13C25">
      <w:pPr>
        <w:pStyle w:val="NoSpacing"/>
        <w:jc w:val="center"/>
        <w:rPr>
          <w:rFonts w:eastAsia="Times New Roman" w:cs="Arial"/>
          <w:b/>
          <w:bCs/>
          <w:iCs/>
          <w:sz w:val="24"/>
          <w:szCs w:val="24"/>
        </w:rPr>
      </w:pPr>
      <w:r>
        <w:rPr>
          <w:rFonts w:eastAsia="Times New Roman" w:cs="Arial"/>
          <w:b/>
          <w:bCs/>
          <w:iCs/>
          <w:sz w:val="24"/>
          <w:szCs w:val="24"/>
        </w:rPr>
        <w:t>Novem</w:t>
      </w:r>
      <w:r w:rsidR="00CE2261">
        <w:rPr>
          <w:rFonts w:eastAsia="Times New Roman" w:cs="Arial"/>
          <w:b/>
          <w:bCs/>
          <w:iCs/>
          <w:sz w:val="24"/>
          <w:szCs w:val="24"/>
        </w:rPr>
        <w:t xml:space="preserve">ber </w:t>
      </w:r>
      <w:r>
        <w:rPr>
          <w:rFonts w:eastAsia="Times New Roman" w:cs="Arial"/>
          <w:b/>
          <w:bCs/>
          <w:iCs/>
          <w:sz w:val="24"/>
          <w:szCs w:val="24"/>
        </w:rPr>
        <w:t>2012 to January 2013</w:t>
      </w:r>
    </w:p>
    <w:p w:rsidR="004310DF" w:rsidRPr="004310DF" w:rsidRDefault="00CE2261" w:rsidP="004310DF">
      <w:pPr>
        <w:jc w:val="center"/>
        <w:rPr>
          <w:b/>
        </w:rPr>
      </w:pPr>
      <w:r w:rsidRPr="004310DF">
        <w:rPr>
          <w:rFonts w:ascii="Arial" w:hAnsi="Arial" w:cs="Arial"/>
          <w:b/>
          <w:noProof/>
          <w:sz w:val="28"/>
          <w:szCs w:val="28"/>
        </w:rPr>
        <w:drawing>
          <wp:inline distT="0" distB="0" distL="0" distR="0">
            <wp:extent cx="5172928" cy="3469015"/>
            <wp:effectExtent l="19050" t="0" r="8672" b="0"/>
            <wp:docPr id="23" name="Picture 16" descr="Image showing chance of exceeding the median rainfall during November 2012 to January 2013. A wetter than normal season is more likely for large parts of norther and central Australia and south-west Western Australia.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n-rainfall-oct-dec-2012.bmp"/>
                    <pic:cNvPicPr/>
                  </pic:nvPicPr>
                  <pic:blipFill>
                    <a:blip r:embed="rId16" cstate="print"/>
                    <a:stretch>
                      <a:fillRect/>
                    </a:stretch>
                  </pic:blipFill>
                  <pic:spPr>
                    <a:xfrm>
                      <a:off x="0" y="0"/>
                      <a:ext cx="5172928" cy="3469015"/>
                    </a:xfrm>
                    <a:prstGeom prst="rect">
                      <a:avLst/>
                    </a:prstGeom>
                  </pic:spPr>
                </pic:pic>
              </a:graphicData>
            </a:graphic>
          </wp:inline>
        </w:drawing>
      </w:r>
      <w:r w:rsidR="004310DF" w:rsidRPr="004310DF">
        <w:rPr>
          <w:rFonts w:ascii="Calibri" w:hAnsi="Calibri" w:cs="Calibri"/>
          <w:b/>
          <w:sz w:val="16"/>
          <w:szCs w:val="16"/>
        </w:rPr>
        <w:t>©Commonwealth of Australia 2012, Australia Bureau of Meteorology</w:t>
      </w:r>
      <w:r w:rsidR="004310DF" w:rsidRPr="004310DF">
        <w:rPr>
          <w:rFonts w:ascii="Calibri" w:hAnsi="Calibri" w:cs="Calibri"/>
          <w:b/>
          <w:color w:val="0070C0"/>
          <w:sz w:val="16"/>
          <w:szCs w:val="16"/>
        </w:rPr>
        <w:t xml:space="preserve"> </w:t>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C55BFC">
        <w:rPr>
          <w:rFonts w:ascii="Calibri" w:hAnsi="Calibri" w:cs="Calibri"/>
          <w:b/>
          <w:sz w:val="16"/>
          <w:szCs w:val="16"/>
        </w:rPr>
        <w:t xml:space="preserve">Issued: </w:t>
      </w:r>
      <w:r w:rsidR="00C55BFC" w:rsidRPr="00C55BFC">
        <w:rPr>
          <w:rFonts w:ascii="Calibri" w:hAnsi="Calibri" w:cs="Calibri"/>
          <w:b/>
          <w:sz w:val="16"/>
          <w:szCs w:val="16"/>
        </w:rPr>
        <w:t>24</w:t>
      </w:r>
      <w:r w:rsidR="004310DF" w:rsidRPr="00C55BFC">
        <w:rPr>
          <w:rFonts w:ascii="Calibri" w:hAnsi="Calibri" w:cs="Calibri"/>
          <w:b/>
          <w:sz w:val="16"/>
          <w:szCs w:val="16"/>
        </w:rPr>
        <w:t>/10/2012</w:t>
      </w:r>
    </w:p>
    <w:p w:rsidR="004310DF" w:rsidRDefault="00CE2261" w:rsidP="00CE2261">
      <w:pPr>
        <w:pStyle w:val="NoSpacing"/>
        <w:jc w:val="center"/>
        <w:rPr>
          <w:rFonts w:eastAsia="Times New Roman" w:cs="Arial"/>
          <w:b/>
          <w:bCs/>
          <w:iCs/>
          <w:sz w:val="24"/>
          <w:szCs w:val="24"/>
        </w:rPr>
      </w:pPr>
      <w:r>
        <w:rPr>
          <w:rFonts w:eastAsia="Times New Roman" w:cs="Arial"/>
          <w:b/>
          <w:bCs/>
          <w:iCs/>
          <w:sz w:val="24"/>
          <w:szCs w:val="24"/>
        </w:rPr>
        <w:lastRenderedPageBreak/>
        <w:t>Chance of exceeding t</w:t>
      </w:r>
      <w:r w:rsidR="004310DF">
        <w:rPr>
          <w:rFonts w:eastAsia="Times New Roman" w:cs="Arial"/>
          <w:b/>
          <w:bCs/>
          <w:iCs/>
          <w:sz w:val="24"/>
          <w:szCs w:val="24"/>
        </w:rPr>
        <w:t>he median maximum temperature</w:t>
      </w:r>
    </w:p>
    <w:p w:rsidR="00CE2261" w:rsidRDefault="004310DF" w:rsidP="00CE2261">
      <w:pPr>
        <w:pStyle w:val="NoSpacing"/>
        <w:jc w:val="center"/>
        <w:rPr>
          <w:rFonts w:eastAsia="Times New Roman" w:cs="Arial"/>
          <w:b/>
          <w:bCs/>
          <w:iCs/>
          <w:sz w:val="24"/>
          <w:szCs w:val="24"/>
        </w:rPr>
      </w:pPr>
      <w:r>
        <w:rPr>
          <w:rFonts w:eastAsia="Times New Roman" w:cs="Arial"/>
          <w:b/>
          <w:bCs/>
          <w:iCs/>
          <w:sz w:val="24"/>
          <w:szCs w:val="24"/>
        </w:rPr>
        <w:t>Novem</w:t>
      </w:r>
      <w:r w:rsidR="00CE2261">
        <w:rPr>
          <w:rFonts w:eastAsia="Times New Roman" w:cs="Arial"/>
          <w:b/>
          <w:bCs/>
          <w:iCs/>
          <w:sz w:val="24"/>
          <w:szCs w:val="24"/>
        </w:rPr>
        <w:t xml:space="preserve">ber </w:t>
      </w:r>
      <w:r>
        <w:rPr>
          <w:rFonts w:eastAsia="Times New Roman" w:cs="Arial"/>
          <w:b/>
          <w:bCs/>
          <w:iCs/>
          <w:sz w:val="24"/>
          <w:szCs w:val="24"/>
        </w:rPr>
        <w:t xml:space="preserve">2012 </w:t>
      </w:r>
      <w:r w:rsidR="00CE2261">
        <w:rPr>
          <w:rFonts w:eastAsia="Times New Roman" w:cs="Arial"/>
          <w:b/>
          <w:bCs/>
          <w:iCs/>
          <w:sz w:val="24"/>
          <w:szCs w:val="24"/>
        </w:rPr>
        <w:t xml:space="preserve">to </w:t>
      </w:r>
      <w:r>
        <w:rPr>
          <w:rFonts w:eastAsia="Times New Roman" w:cs="Arial"/>
          <w:b/>
          <w:bCs/>
          <w:iCs/>
          <w:sz w:val="24"/>
          <w:szCs w:val="24"/>
        </w:rPr>
        <w:t>January</w:t>
      </w:r>
      <w:r w:rsidR="00CE2261">
        <w:rPr>
          <w:rFonts w:eastAsia="Times New Roman" w:cs="Arial"/>
          <w:b/>
          <w:bCs/>
          <w:iCs/>
          <w:sz w:val="24"/>
          <w:szCs w:val="24"/>
        </w:rPr>
        <w:t xml:space="preserve"> 201</w:t>
      </w:r>
      <w:r>
        <w:rPr>
          <w:rFonts w:eastAsia="Times New Roman" w:cs="Arial"/>
          <w:b/>
          <w:bCs/>
          <w:iCs/>
          <w:sz w:val="24"/>
          <w:szCs w:val="24"/>
        </w:rPr>
        <w:t>3</w:t>
      </w:r>
    </w:p>
    <w:p w:rsidR="00CE2261" w:rsidRPr="004310DF" w:rsidRDefault="00CE2261" w:rsidP="004310DF">
      <w:pPr>
        <w:jc w:val="center"/>
        <w:rPr>
          <w:b/>
        </w:rPr>
      </w:pPr>
      <w:r>
        <w:rPr>
          <w:i/>
          <w:noProof/>
        </w:rPr>
        <w:drawing>
          <wp:inline distT="0" distB="0" distL="0" distR="0">
            <wp:extent cx="5082242" cy="3408200"/>
            <wp:effectExtent l="19050" t="0" r="4108" b="0"/>
            <wp:docPr id="24" name="Picture 18" descr="Image showing chance of exceeding the median maximum temperature during November 2012 to January 2013.  The chances that the average maximum temperature will exceed the long-term median maximum temperature are likely over southeastern and northern Australia, with the highest probability over Cape York, Arhnem Land, Victoria and southern South Australia.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_national_hrweb.bmp"/>
                    <pic:cNvPicPr/>
                  </pic:nvPicPr>
                  <pic:blipFill>
                    <a:blip r:embed="rId17" cstate="print"/>
                    <a:stretch>
                      <a:fillRect/>
                    </a:stretch>
                  </pic:blipFill>
                  <pic:spPr>
                    <a:xfrm>
                      <a:off x="0" y="0"/>
                      <a:ext cx="5082242" cy="3408200"/>
                    </a:xfrm>
                    <a:prstGeom prst="rect">
                      <a:avLst/>
                    </a:prstGeom>
                  </pic:spPr>
                </pic:pic>
              </a:graphicData>
            </a:graphic>
          </wp:inline>
        </w:drawing>
      </w:r>
      <w:r w:rsidR="004310DF" w:rsidRPr="004310DF">
        <w:rPr>
          <w:rFonts w:ascii="Calibri" w:hAnsi="Calibri" w:cs="Calibri"/>
          <w:b/>
          <w:sz w:val="16"/>
          <w:szCs w:val="16"/>
        </w:rPr>
        <w:t>©Commonwealth of Australia 2012, Australia Bureau of Meteorology</w:t>
      </w:r>
      <w:r w:rsidR="004310DF" w:rsidRPr="004310DF">
        <w:rPr>
          <w:rFonts w:ascii="Calibri" w:hAnsi="Calibri" w:cs="Calibri"/>
          <w:b/>
          <w:color w:val="0070C0"/>
          <w:sz w:val="16"/>
          <w:szCs w:val="16"/>
        </w:rPr>
        <w:t xml:space="preserve"> </w:t>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C55BFC">
        <w:rPr>
          <w:rFonts w:ascii="Calibri" w:hAnsi="Calibri" w:cs="Calibri"/>
          <w:b/>
          <w:sz w:val="16"/>
          <w:szCs w:val="16"/>
        </w:rPr>
        <w:t xml:space="preserve">Issued: </w:t>
      </w:r>
      <w:r w:rsidR="00C55BFC" w:rsidRPr="00C55BFC">
        <w:rPr>
          <w:rFonts w:ascii="Calibri" w:hAnsi="Calibri" w:cs="Calibri"/>
          <w:b/>
          <w:sz w:val="16"/>
          <w:szCs w:val="16"/>
        </w:rPr>
        <w:t>24</w:t>
      </w:r>
      <w:r w:rsidR="004310DF" w:rsidRPr="00C55BFC">
        <w:rPr>
          <w:rFonts w:ascii="Calibri" w:hAnsi="Calibri" w:cs="Calibri"/>
          <w:b/>
          <w:sz w:val="16"/>
          <w:szCs w:val="16"/>
        </w:rPr>
        <w:t>/10/2012</w:t>
      </w:r>
    </w:p>
    <w:p w:rsidR="00CE2261" w:rsidRDefault="00CE2261" w:rsidP="00CE2261">
      <w:pPr>
        <w:pStyle w:val="Heading4"/>
        <w:spacing w:before="120"/>
        <w:jc w:val="center"/>
        <w:rPr>
          <w:i w:val="0"/>
          <w:color w:val="auto"/>
        </w:rPr>
      </w:pPr>
    </w:p>
    <w:p w:rsidR="004310DF" w:rsidRDefault="00CE2261" w:rsidP="009902CD">
      <w:pPr>
        <w:pStyle w:val="NoSpacing"/>
        <w:spacing w:before="480"/>
        <w:jc w:val="center"/>
        <w:rPr>
          <w:rFonts w:eastAsia="Times New Roman" w:cs="Arial"/>
          <w:b/>
          <w:bCs/>
          <w:iCs/>
          <w:sz w:val="24"/>
          <w:szCs w:val="24"/>
        </w:rPr>
      </w:pPr>
      <w:r>
        <w:rPr>
          <w:rFonts w:eastAsia="Times New Roman" w:cs="Arial"/>
          <w:b/>
          <w:bCs/>
          <w:iCs/>
          <w:sz w:val="24"/>
          <w:szCs w:val="24"/>
        </w:rPr>
        <w:t>Chance of exceeding the median minimum temper</w:t>
      </w:r>
      <w:r w:rsidR="004310DF">
        <w:rPr>
          <w:rFonts w:eastAsia="Times New Roman" w:cs="Arial"/>
          <w:b/>
          <w:bCs/>
          <w:iCs/>
          <w:sz w:val="24"/>
          <w:szCs w:val="24"/>
        </w:rPr>
        <w:t>ature</w:t>
      </w:r>
    </w:p>
    <w:p w:rsidR="00CE2261" w:rsidRDefault="004310DF" w:rsidP="004310DF">
      <w:pPr>
        <w:pStyle w:val="NoSpacing"/>
        <w:jc w:val="center"/>
        <w:rPr>
          <w:rFonts w:eastAsia="Times New Roman" w:cs="Arial"/>
          <w:b/>
          <w:bCs/>
          <w:iCs/>
          <w:sz w:val="24"/>
          <w:szCs w:val="24"/>
        </w:rPr>
      </w:pPr>
      <w:r>
        <w:rPr>
          <w:rFonts w:eastAsia="Times New Roman" w:cs="Arial"/>
          <w:b/>
          <w:bCs/>
          <w:iCs/>
          <w:sz w:val="24"/>
          <w:szCs w:val="24"/>
        </w:rPr>
        <w:t>November 2012 to January 2013</w:t>
      </w:r>
    </w:p>
    <w:p w:rsidR="00CE2261" w:rsidRPr="004310DF" w:rsidRDefault="00CE2261" w:rsidP="004310DF">
      <w:pPr>
        <w:jc w:val="center"/>
        <w:rPr>
          <w:b/>
        </w:rPr>
      </w:pPr>
      <w:r>
        <w:rPr>
          <w:noProof/>
        </w:rPr>
        <w:drawing>
          <wp:inline distT="0" distB="0" distL="0" distR="0">
            <wp:extent cx="5185714" cy="3477589"/>
            <wp:effectExtent l="19050" t="0" r="0" b="0"/>
            <wp:docPr id="25" name="Picture 19" descr="Image showing chance of exceeding the median minimum temperature during November 2012 to January 2013. The chances that the average minimum temperature will exceed the long-term median minimum temperature are likely over most of Australia. with the highest probability over most of southern Queensland.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medium-temp-oct-dec-2012.bmp"/>
                    <pic:cNvPicPr/>
                  </pic:nvPicPr>
                  <pic:blipFill>
                    <a:blip r:embed="rId18" cstate="print"/>
                    <a:stretch>
                      <a:fillRect/>
                    </a:stretch>
                  </pic:blipFill>
                  <pic:spPr>
                    <a:xfrm>
                      <a:off x="0" y="0"/>
                      <a:ext cx="5185714" cy="3477589"/>
                    </a:xfrm>
                    <a:prstGeom prst="rect">
                      <a:avLst/>
                    </a:prstGeom>
                  </pic:spPr>
                </pic:pic>
              </a:graphicData>
            </a:graphic>
          </wp:inline>
        </w:drawing>
      </w:r>
      <w:r w:rsidR="004310DF" w:rsidRPr="004310DF">
        <w:rPr>
          <w:rFonts w:ascii="Calibri" w:hAnsi="Calibri" w:cs="Calibri"/>
          <w:b/>
          <w:sz w:val="16"/>
          <w:szCs w:val="16"/>
        </w:rPr>
        <w:t>©Commonwealth of Australia 2012, Australia Bureau of Meteorology</w:t>
      </w:r>
      <w:r w:rsidR="004310DF" w:rsidRPr="004310DF">
        <w:rPr>
          <w:rFonts w:ascii="Calibri" w:hAnsi="Calibri" w:cs="Calibri"/>
          <w:b/>
          <w:color w:val="0070C0"/>
          <w:sz w:val="16"/>
          <w:szCs w:val="16"/>
        </w:rPr>
        <w:t xml:space="preserve"> </w:t>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4310DF">
        <w:rPr>
          <w:rFonts w:ascii="Calibri" w:hAnsi="Calibri" w:cs="Calibri"/>
          <w:b/>
          <w:color w:val="0070C0"/>
          <w:sz w:val="16"/>
          <w:szCs w:val="16"/>
        </w:rPr>
        <w:tab/>
      </w:r>
      <w:r w:rsidR="004310DF" w:rsidRPr="00C55BFC">
        <w:rPr>
          <w:rFonts w:ascii="Calibri" w:hAnsi="Calibri" w:cs="Calibri"/>
          <w:b/>
          <w:sz w:val="16"/>
          <w:szCs w:val="16"/>
        </w:rPr>
        <w:t xml:space="preserve">Issued: </w:t>
      </w:r>
      <w:r w:rsidR="00C55BFC" w:rsidRPr="00C55BFC">
        <w:rPr>
          <w:rFonts w:ascii="Calibri" w:hAnsi="Calibri" w:cs="Calibri"/>
          <w:b/>
          <w:sz w:val="16"/>
          <w:szCs w:val="16"/>
        </w:rPr>
        <w:t>24</w:t>
      </w:r>
      <w:r w:rsidR="004310DF" w:rsidRPr="00C55BFC">
        <w:rPr>
          <w:rFonts w:ascii="Calibri" w:hAnsi="Calibri" w:cs="Calibri"/>
          <w:b/>
          <w:sz w:val="16"/>
          <w:szCs w:val="16"/>
        </w:rPr>
        <w:t>/10/2012</w:t>
      </w:r>
    </w:p>
    <w:p w:rsidR="00D147ED" w:rsidRPr="00CE2261" w:rsidRDefault="00CE2261" w:rsidP="00CE2261">
      <w:pPr>
        <w:rPr>
          <w:rFonts w:cs="Arial"/>
          <w:sz w:val="16"/>
          <w:szCs w:val="16"/>
          <w:highlight w:val="lightGray"/>
        </w:rPr>
      </w:pPr>
      <w:r>
        <w:rPr>
          <w:rFonts w:cs="Arial"/>
          <w:sz w:val="16"/>
          <w:szCs w:val="16"/>
          <w:highlight w:val="lightGray"/>
        </w:rPr>
        <w:br w:type="page"/>
      </w:r>
    </w:p>
    <w:p w:rsidR="00D147ED" w:rsidRDefault="000E7BB7">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Water</w:t>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t>Water availability</w:t>
      </w:r>
    </w:p>
    <w:p w:rsidR="00D147ED" w:rsidRPr="00A11161" w:rsidRDefault="000E7BB7">
      <w:pPr>
        <w:pStyle w:val="ListBullet"/>
        <w:numPr>
          <w:ilvl w:val="0"/>
          <w:numId w:val="0"/>
        </w:numPr>
        <w:spacing w:before="100"/>
        <w:rPr>
          <w:rFonts w:asciiTheme="minorHAnsi" w:hAnsiTheme="minorHAnsi" w:cstheme="minorHAnsi"/>
          <w:szCs w:val="20"/>
        </w:rPr>
      </w:pPr>
      <w:r w:rsidRPr="00A11161">
        <w:rPr>
          <w:rFonts w:asciiTheme="minorHAnsi" w:hAnsiTheme="minorHAnsi" w:cstheme="minorHAnsi"/>
          <w:szCs w:val="20"/>
        </w:rPr>
        <w:t>Water storage levels in the Murray–Darling Basin (MDB</w:t>
      </w:r>
      <w:r w:rsidR="00A11161" w:rsidRPr="00A11161">
        <w:rPr>
          <w:rFonts w:asciiTheme="minorHAnsi" w:hAnsiTheme="minorHAnsi" w:cstheme="minorHAnsi"/>
          <w:szCs w:val="20"/>
        </w:rPr>
        <w:t>) de</w:t>
      </w:r>
      <w:r w:rsidRPr="00A11161">
        <w:rPr>
          <w:rFonts w:asciiTheme="minorHAnsi" w:hAnsiTheme="minorHAnsi" w:cstheme="minorHAnsi"/>
          <w:szCs w:val="20"/>
        </w:rPr>
        <w:t xml:space="preserve">creased this week by </w:t>
      </w:r>
      <w:r w:rsidR="00A11161" w:rsidRPr="00A11161">
        <w:rPr>
          <w:rFonts w:asciiTheme="minorHAnsi" w:hAnsiTheme="minorHAnsi" w:cstheme="minorHAnsi"/>
          <w:szCs w:val="20"/>
        </w:rPr>
        <w:t>144</w:t>
      </w:r>
      <w:r w:rsidRPr="00A11161">
        <w:rPr>
          <w:rFonts w:asciiTheme="minorHAnsi" w:hAnsiTheme="minorHAnsi" w:cstheme="minorHAnsi"/>
          <w:szCs w:val="20"/>
        </w:rPr>
        <w:t xml:space="preserve"> </w:t>
      </w:r>
      <w:proofErr w:type="spellStart"/>
      <w:r w:rsidRPr="00A11161">
        <w:rPr>
          <w:rFonts w:asciiTheme="minorHAnsi" w:hAnsiTheme="minorHAnsi" w:cstheme="minorHAnsi"/>
          <w:szCs w:val="20"/>
        </w:rPr>
        <w:t>gigalitres</w:t>
      </w:r>
      <w:proofErr w:type="spellEnd"/>
      <w:r w:rsidRPr="00A11161">
        <w:rPr>
          <w:rFonts w:asciiTheme="minorHAnsi" w:hAnsiTheme="minorHAnsi" w:cstheme="minorHAnsi"/>
          <w:szCs w:val="20"/>
        </w:rPr>
        <w:t> (GL) and are at 97 per cent of total capacity. This is 9 percentage points, or 20</w:t>
      </w:r>
      <w:r w:rsidR="00A11161" w:rsidRPr="00A11161">
        <w:rPr>
          <w:rFonts w:asciiTheme="minorHAnsi" w:hAnsiTheme="minorHAnsi" w:cstheme="minorHAnsi"/>
          <w:szCs w:val="20"/>
        </w:rPr>
        <w:t>47</w:t>
      </w:r>
      <w:r w:rsidRPr="00A11161">
        <w:rPr>
          <w:rFonts w:asciiTheme="minorHAnsi" w:hAnsiTheme="minorHAnsi" w:cstheme="minorHAnsi"/>
          <w:szCs w:val="20"/>
        </w:rPr>
        <w:t xml:space="preserve"> GL, more than this time last year.</w:t>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t>Water storages</w:t>
      </w:r>
    </w:p>
    <w:p w:rsidR="00D147ED" w:rsidRDefault="00D147ED">
      <w:pPr>
        <w:ind w:left="360"/>
        <w:rPr>
          <w:rFonts w:ascii="Arial" w:hAnsi="Arial" w:cs="Arial"/>
          <w:sz w:val="10"/>
          <w:szCs w:val="20"/>
        </w:rPr>
      </w:pPr>
    </w:p>
    <w:p w:rsidR="00D147ED" w:rsidRDefault="000E7BB7">
      <w:pPr>
        <w:pStyle w:val="Heading4"/>
        <w:tabs>
          <w:tab w:val="left" w:pos="6096"/>
        </w:tabs>
        <w:ind w:left="360"/>
        <w:jc w:val="center"/>
        <w:rPr>
          <w:rFonts w:ascii="Calibri" w:hAnsi="Calibri" w:cs="Calibri"/>
          <w:b w:val="0"/>
          <w:i w:val="0"/>
          <w:noProof/>
          <w:color w:val="auto"/>
        </w:rPr>
      </w:pPr>
      <w:r>
        <w:rPr>
          <w:rFonts w:ascii="Calibri" w:hAnsi="Calibri" w:cs="Calibri"/>
          <w:i w:val="0"/>
          <w:color w:val="auto"/>
        </w:rPr>
        <w:t>Water storages in the Murray–Darling Basin (NSW, Victoria and Queensland)</w:t>
      </w:r>
    </w:p>
    <w:p w:rsidR="00D147ED" w:rsidRDefault="00544F0D">
      <w:pPr>
        <w:rPr>
          <w:rFonts w:ascii="Arial" w:hAnsi="Arial" w:cs="Arial"/>
          <w:color w:val="4F81BD" w:themeColor="accent1"/>
          <w:sz w:val="20"/>
          <w:szCs w:val="20"/>
        </w:rPr>
      </w:pPr>
      <w:r w:rsidRPr="00544F0D">
        <w:rPr>
          <w:noProof/>
        </w:rPr>
        <w:drawing>
          <wp:inline distT="0" distB="0" distL="0" distR="0">
            <wp:extent cx="5731510" cy="3494630"/>
            <wp:effectExtent l="19050" t="0" r="2540" b="0"/>
            <wp:docPr id="4" name="Picture 2" descr="Line graph showing water storages in the Murray–Darling Basin (NSW,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31510" cy="3494630"/>
                    </a:xfrm>
                    <a:prstGeom prst="rect">
                      <a:avLst/>
                    </a:prstGeom>
                    <a:noFill/>
                    <a:ln w="9525">
                      <a:noFill/>
                      <a:miter lim="800000"/>
                      <a:headEnd/>
                      <a:tailEnd/>
                    </a:ln>
                  </pic:spPr>
                </pic:pic>
              </a:graphicData>
            </a:graphic>
          </wp:inline>
        </w:drawing>
      </w:r>
    </w:p>
    <w:p w:rsidR="00D147ED" w:rsidRDefault="000E7BB7">
      <w:pPr>
        <w:ind w:left="360"/>
        <w:rPr>
          <w:rFonts w:ascii="Calibri" w:hAnsi="Calibri" w:cs="Calibri"/>
          <w:sz w:val="20"/>
          <w:szCs w:val="20"/>
        </w:rPr>
      </w:pPr>
      <w:r>
        <w:rPr>
          <w:rFonts w:ascii="Calibri" w:hAnsi="Calibri" w:cs="Calibri"/>
          <w:sz w:val="20"/>
          <w:szCs w:val="20"/>
        </w:rPr>
        <w:t xml:space="preserve">Information on irrigation water available in the Murray–Darling Basin from 1 January 2001 to </w:t>
      </w:r>
      <w:r w:rsidR="00B40E65">
        <w:rPr>
          <w:rFonts w:ascii="Calibri" w:hAnsi="Calibri" w:cs="Calibri"/>
          <w:sz w:val="20"/>
          <w:szCs w:val="20"/>
        </w:rPr>
        <w:t>25</w:t>
      </w:r>
      <w:r>
        <w:rPr>
          <w:rFonts w:ascii="Calibri" w:hAnsi="Calibri" w:cs="Calibri"/>
          <w:sz w:val="20"/>
          <w:szCs w:val="20"/>
        </w:rPr>
        <w:t> October 2012 is shown above. The top horizontal (red) line indicates the storage level at the similar time last year. The bottom horizontal (orange) line indicates the amount of ‘dead’, or unusable, storage.</w:t>
      </w:r>
    </w:p>
    <w:p w:rsidR="00D147ED" w:rsidRDefault="000E7BB7">
      <w:pPr>
        <w:pStyle w:val="Heading3"/>
        <w:numPr>
          <w:ilvl w:val="1"/>
          <w:numId w:val="4"/>
        </w:numPr>
        <w:spacing w:line="276" w:lineRule="auto"/>
        <w:ind w:left="709" w:hanging="709"/>
        <w:rPr>
          <w:rFonts w:asciiTheme="majorHAnsi" w:hAnsiTheme="majorHAnsi" w:cs="Arial"/>
          <w:color w:val="auto"/>
          <w:sz w:val="28"/>
          <w:szCs w:val="28"/>
        </w:rPr>
      </w:pPr>
      <w:r>
        <w:rPr>
          <w:rFonts w:cs="Arial"/>
          <w:b w:val="0"/>
          <w:color w:val="4F81BD" w:themeColor="accent1"/>
          <w:szCs w:val="34"/>
        </w:rPr>
        <w:br w:type="page"/>
      </w:r>
      <w:r>
        <w:rPr>
          <w:rFonts w:asciiTheme="majorHAnsi" w:hAnsiTheme="majorHAnsi" w:cs="Arial"/>
          <w:color w:val="auto"/>
          <w:sz w:val="28"/>
          <w:szCs w:val="28"/>
        </w:rPr>
        <w:lastRenderedPageBreak/>
        <w:t>Water allocations</w:t>
      </w:r>
    </w:p>
    <w:p w:rsidR="00D147ED" w:rsidRDefault="000E7BB7">
      <w:pPr>
        <w:rPr>
          <w:rFonts w:asciiTheme="minorHAnsi" w:hAnsiTheme="minorHAnsi" w:cstheme="minorHAnsi"/>
          <w:sz w:val="20"/>
          <w:szCs w:val="20"/>
        </w:rPr>
      </w:pPr>
      <w:r>
        <w:rPr>
          <w:rFonts w:asciiTheme="minorHAnsi" w:hAnsiTheme="minorHAnsi" w:cstheme="minorHAnsi"/>
          <w:sz w:val="20"/>
          <w:szCs w:val="20"/>
        </w:rPr>
        <w:t>The current water allocations for the 2012–13 water trading season for licence holders in New South Wales, Victoria and South Australia water systems are summarised in the following table.</w:t>
      </w:r>
    </w:p>
    <w:p w:rsidR="00D147ED" w:rsidRDefault="00D147ED">
      <w:pPr>
        <w:rPr>
          <w:rFonts w:asciiTheme="minorHAnsi" w:hAnsiTheme="minorHAnsi" w:cstheme="minorHAnsi"/>
          <w:sz w:val="20"/>
          <w:szCs w:val="20"/>
        </w:rPr>
      </w:pPr>
    </w:p>
    <w:tbl>
      <w:tblPr>
        <w:tblW w:w="7863" w:type="dxa"/>
        <w:jc w:val="center"/>
        <w:tblInd w:w="-28" w:type="dxa"/>
        <w:tblBorders>
          <w:top w:val="single" w:sz="4" w:space="0" w:color="auto"/>
          <w:bottom w:val="single" w:sz="4" w:space="0" w:color="auto"/>
        </w:tblBorders>
        <w:tblLayout w:type="fixed"/>
        <w:tblCellMar>
          <w:top w:w="28" w:type="dxa"/>
          <w:bottom w:w="28" w:type="dxa"/>
        </w:tblCellMar>
        <w:tblLook w:val="01E0"/>
      </w:tblPr>
      <w:tblGrid>
        <w:gridCol w:w="3327"/>
        <w:gridCol w:w="2268"/>
        <w:gridCol w:w="2268"/>
      </w:tblGrid>
      <w:tr w:rsidR="00C1747E" w:rsidRPr="00C1747E" w:rsidTr="009627C0">
        <w:trPr>
          <w:cantSplit/>
          <w:trHeight w:val="57"/>
          <w:tblHeader/>
          <w:jc w:val="center"/>
        </w:trPr>
        <w:tc>
          <w:tcPr>
            <w:tcW w:w="3327" w:type="dxa"/>
            <w:tcBorders>
              <w:top w:val="single" w:sz="4" w:space="0" w:color="auto"/>
              <w:left w:val="nil"/>
              <w:bottom w:val="single" w:sz="4" w:space="0" w:color="auto"/>
              <w:right w:val="nil"/>
            </w:tcBorders>
            <w:vAlign w:val="center"/>
          </w:tcPr>
          <w:p w:rsidR="00C1747E" w:rsidRPr="00C1747E" w:rsidRDefault="00C1747E" w:rsidP="009627C0">
            <w:pPr>
              <w:spacing w:line="120" w:lineRule="atLeast"/>
              <w:rPr>
                <w:rFonts w:asciiTheme="minorHAnsi" w:hAnsiTheme="minorHAnsi" w:cstheme="minorHAnsi"/>
                <w:color w:val="0D0D0D"/>
                <w:sz w:val="20"/>
                <w:szCs w:val="20"/>
              </w:rPr>
            </w:pPr>
          </w:p>
        </w:tc>
        <w:tc>
          <w:tcPr>
            <w:tcW w:w="2268" w:type="dxa"/>
            <w:tcBorders>
              <w:top w:val="single" w:sz="4" w:space="0" w:color="auto"/>
              <w:left w:val="nil"/>
              <w:bottom w:val="single" w:sz="4" w:space="0" w:color="auto"/>
              <w:right w:val="nil"/>
            </w:tcBorders>
          </w:tcPr>
          <w:p w:rsidR="00C1747E" w:rsidRPr="00C1747E" w:rsidRDefault="00C1747E" w:rsidP="00E13C25">
            <w:pPr>
              <w:spacing w:line="120" w:lineRule="atLeast"/>
              <w:jc w:val="center"/>
              <w:rPr>
                <w:rFonts w:asciiTheme="minorHAnsi" w:hAnsiTheme="minorHAnsi" w:cstheme="minorHAnsi"/>
                <w:b/>
                <w:bCs/>
                <w:color w:val="0D0D0D"/>
                <w:sz w:val="20"/>
                <w:szCs w:val="20"/>
              </w:rPr>
            </w:pPr>
            <w:r w:rsidRPr="00C1747E">
              <w:rPr>
                <w:rFonts w:asciiTheme="minorHAnsi" w:hAnsiTheme="minorHAnsi" w:cstheme="minorHAnsi"/>
                <w:b/>
                <w:bCs/>
                <w:color w:val="0D0D0D"/>
                <w:sz w:val="20"/>
                <w:szCs w:val="20"/>
              </w:rPr>
              <w:t>Allocations at 17</w:t>
            </w:r>
            <w:r w:rsidR="00E13C25">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October</w:t>
            </w:r>
            <w:r w:rsidR="00E13C25">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2012 (%)</w:t>
            </w:r>
          </w:p>
        </w:tc>
        <w:tc>
          <w:tcPr>
            <w:tcW w:w="2268" w:type="dxa"/>
            <w:tcBorders>
              <w:top w:val="single" w:sz="4" w:space="0" w:color="auto"/>
              <w:left w:val="nil"/>
              <w:bottom w:val="single" w:sz="4" w:space="0" w:color="auto"/>
              <w:right w:val="nil"/>
            </w:tcBorders>
          </w:tcPr>
          <w:p w:rsidR="00C1747E" w:rsidRPr="00C1747E" w:rsidRDefault="00C1747E" w:rsidP="00E13C25">
            <w:pPr>
              <w:spacing w:line="120" w:lineRule="atLeast"/>
              <w:jc w:val="center"/>
              <w:rPr>
                <w:rFonts w:asciiTheme="minorHAnsi" w:hAnsiTheme="minorHAnsi" w:cstheme="minorHAnsi"/>
                <w:b/>
                <w:bCs/>
                <w:color w:val="0D0D0D"/>
                <w:sz w:val="20"/>
                <w:szCs w:val="20"/>
              </w:rPr>
            </w:pPr>
            <w:r w:rsidRPr="00C1747E">
              <w:rPr>
                <w:rFonts w:asciiTheme="minorHAnsi" w:hAnsiTheme="minorHAnsi" w:cstheme="minorHAnsi"/>
                <w:b/>
                <w:bCs/>
                <w:color w:val="0D0D0D"/>
                <w:sz w:val="20"/>
                <w:szCs w:val="20"/>
              </w:rPr>
              <w:t>Allocations at 24</w:t>
            </w:r>
            <w:r w:rsidR="00E13C25">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October 2012 (%)</w:t>
            </w:r>
          </w:p>
        </w:tc>
      </w:tr>
      <w:tr w:rsidR="00C1747E" w:rsidRPr="00C1747E" w:rsidTr="009627C0">
        <w:trPr>
          <w:cantSplit/>
          <w:trHeight w:val="57"/>
          <w:jc w:val="center"/>
        </w:trPr>
        <w:tc>
          <w:tcPr>
            <w:tcW w:w="3327" w:type="dxa"/>
            <w:tcBorders>
              <w:top w:val="single" w:sz="4" w:space="0" w:color="auto"/>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Murray Valley</w:t>
            </w:r>
          </w:p>
        </w:tc>
        <w:tc>
          <w:tcPr>
            <w:tcW w:w="2268" w:type="dxa"/>
            <w:tcBorders>
              <w:top w:val="single" w:sz="4" w:space="0" w:color="auto"/>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rPr>
            </w:pPr>
          </w:p>
        </w:tc>
        <w:tc>
          <w:tcPr>
            <w:tcW w:w="2268" w:type="dxa"/>
            <w:tcBorders>
              <w:top w:val="single" w:sz="4" w:space="0" w:color="auto"/>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NSW </w:t>
            </w:r>
            <w:proofErr w:type="spellStart"/>
            <w:r w:rsidRPr="00C1747E">
              <w:rPr>
                <w:rFonts w:asciiTheme="minorHAnsi" w:hAnsiTheme="minorHAnsi" w:cstheme="minorHAnsi"/>
                <w:b/>
                <w:sz w:val="20"/>
                <w:szCs w:val="20"/>
                <w:lang w:val="en-US"/>
              </w:rPr>
              <w:t>Murrumbidgee</w:t>
            </w:r>
            <w:proofErr w:type="spellEnd"/>
            <w:r w:rsidRPr="00C1747E">
              <w:rPr>
                <w:rFonts w:asciiTheme="minorHAnsi" w:hAnsiTheme="minorHAnsi" w:cstheme="minorHAnsi"/>
                <w:b/>
                <w:sz w:val="20"/>
                <w:szCs w:val="20"/>
                <w:lang w:val="en-US"/>
              </w:rPr>
              <w:t xml:space="preserve">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95</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95</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64*</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64*</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Lower Darling</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Macquarie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58*</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58*</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Hunter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Lachlan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NSW Lower </w:t>
            </w:r>
            <w:proofErr w:type="spellStart"/>
            <w:r w:rsidRPr="00C1747E">
              <w:rPr>
                <w:rFonts w:asciiTheme="minorHAnsi" w:hAnsiTheme="minorHAnsi" w:cstheme="minorHAnsi"/>
                <w:b/>
                <w:sz w:val="20"/>
                <w:szCs w:val="20"/>
                <w:lang w:val="en-US"/>
              </w:rPr>
              <w:t>Namoi</w:t>
            </w:r>
            <w:proofErr w:type="spellEnd"/>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32*</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32*</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NSW Upper </w:t>
            </w:r>
            <w:proofErr w:type="spellStart"/>
            <w:r w:rsidRPr="00C1747E">
              <w:rPr>
                <w:rFonts w:asciiTheme="minorHAnsi" w:hAnsiTheme="minorHAnsi" w:cstheme="minorHAnsi"/>
                <w:b/>
                <w:sz w:val="20"/>
                <w:szCs w:val="20"/>
                <w:lang w:val="en-US"/>
              </w:rPr>
              <w:t>Namoi</w:t>
            </w:r>
            <w:proofErr w:type="spellEnd"/>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NSW </w:t>
            </w:r>
            <w:proofErr w:type="spellStart"/>
            <w:r w:rsidRPr="00C1747E">
              <w:rPr>
                <w:rFonts w:asciiTheme="minorHAnsi" w:hAnsiTheme="minorHAnsi" w:cstheme="minorHAnsi"/>
                <w:b/>
                <w:sz w:val="20"/>
                <w:szCs w:val="20"/>
                <w:lang w:val="en-US"/>
              </w:rPr>
              <w:t>Gwydir</w:t>
            </w:r>
            <w:proofErr w:type="spellEnd"/>
            <w:r w:rsidRPr="00C1747E">
              <w:rPr>
                <w:rFonts w:asciiTheme="minorHAnsi" w:hAnsiTheme="minorHAnsi" w:cstheme="minorHAnsi"/>
                <w:b/>
                <w:sz w:val="20"/>
                <w:szCs w:val="20"/>
                <w:lang w:val="en-US"/>
              </w:rPr>
              <w:t xml:space="preserve">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95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150*</w:t>
            </w:r>
          </w:p>
        </w:tc>
        <w:tc>
          <w:tcPr>
            <w:tcW w:w="2268" w:type="dxa"/>
            <w:tcBorders>
              <w:top w:val="nil"/>
              <w:left w:val="nil"/>
              <w:bottom w:val="nil"/>
              <w:right w:val="nil"/>
            </w:tcBorders>
            <w:vAlign w:val="center"/>
          </w:tcPr>
          <w:p w:rsidR="00C1747E" w:rsidRPr="00C1747E" w:rsidRDefault="00C1747E" w:rsidP="009627C0">
            <w:pPr>
              <w:tabs>
                <w:tab w:val="decimal" w:pos="95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150*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Border Rivers</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NSW Peel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General security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78*</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78*</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Victoria Murray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95</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95</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Victoria </w:t>
            </w:r>
            <w:proofErr w:type="spellStart"/>
            <w:r w:rsidRPr="00C1747E">
              <w:rPr>
                <w:rFonts w:asciiTheme="minorHAnsi" w:hAnsiTheme="minorHAnsi" w:cstheme="minorHAnsi"/>
                <w:b/>
                <w:sz w:val="20"/>
                <w:szCs w:val="20"/>
                <w:lang w:val="en-US"/>
              </w:rPr>
              <w:t>Goulburn</w:t>
            </w:r>
            <w:proofErr w:type="spellEnd"/>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single" w:sz="4" w:space="0" w:color="auto"/>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single" w:sz="4" w:space="0" w:color="auto"/>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c>
          <w:tcPr>
            <w:tcW w:w="2268" w:type="dxa"/>
            <w:tcBorders>
              <w:top w:val="nil"/>
              <w:left w:val="nil"/>
              <w:bottom w:val="single" w:sz="4" w:space="0" w:color="auto"/>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r>
    </w:tbl>
    <w:p w:rsidR="00C1747E" w:rsidRDefault="00C1747E">
      <w:r>
        <w:br w:type="page"/>
      </w:r>
    </w:p>
    <w:tbl>
      <w:tblPr>
        <w:tblW w:w="7863" w:type="dxa"/>
        <w:jc w:val="center"/>
        <w:tblInd w:w="-28" w:type="dxa"/>
        <w:tblBorders>
          <w:top w:val="single" w:sz="4" w:space="0" w:color="auto"/>
          <w:bottom w:val="single" w:sz="4" w:space="0" w:color="auto"/>
        </w:tblBorders>
        <w:tblLayout w:type="fixed"/>
        <w:tblCellMar>
          <w:top w:w="28" w:type="dxa"/>
          <w:bottom w:w="28" w:type="dxa"/>
        </w:tblCellMar>
        <w:tblLook w:val="01E0"/>
      </w:tblPr>
      <w:tblGrid>
        <w:gridCol w:w="3327"/>
        <w:gridCol w:w="2268"/>
        <w:gridCol w:w="2268"/>
      </w:tblGrid>
      <w:tr w:rsidR="00E13C25" w:rsidRPr="00C1747E" w:rsidTr="00E33F11">
        <w:trPr>
          <w:cantSplit/>
          <w:trHeight w:val="57"/>
          <w:jc w:val="center"/>
        </w:trPr>
        <w:tc>
          <w:tcPr>
            <w:tcW w:w="3327" w:type="dxa"/>
            <w:tcBorders>
              <w:top w:val="single" w:sz="4" w:space="0" w:color="auto"/>
              <w:left w:val="nil"/>
              <w:bottom w:val="nil"/>
              <w:right w:val="nil"/>
            </w:tcBorders>
            <w:vAlign w:val="center"/>
          </w:tcPr>
          <w:p w:rsidR="00E13C25" w:rsidRPr="00C1747E" w:rsidRDefault="00E13C25" w:rsidP="009627C0">
            <w:pPr>
              <w:spacing w:line="120" w:lineRule="atLeast"/>
              <w:rPr>
                <w:rFonts w:asciiTheme="minorHAnsi" w:hAnsiTheme="minorHAnsi" w:cstheme="minorHAnsi"/>
                <w:color w:val="0D0D0D"/>
                <w:sz w:val="20"/>
                <w:szCs w:val="20"/>
              </w:rPr>
            </w:pPr>
          </w:p>
        </w:tc>
        <w:tc>
          <w:tcPr>
            <w:tcW w:w="2268" w:type="dxa"/>
            <w:tcBorders>
              <w:top w:val="single" w:sz="4" w:space="0" w:color="auto"/>
              <w:left w:val="nil"/>
              <w:bottom w:val="nil"/>
              <w:right w:val="nil"/>
            </w:tcBorders>
          </w:tcPr>
          <w:p w:rsidR="00E13C25" w:rsidRPr="00C1747E" w:rsidRDefault="00E13C25" w:rsidP="009627C0">
            <w:pPr>
              <w:spacing w:line="120" w:lineRule="atLeast"/>
              <w:jc w:val="center"/>
              <w:rPr>
                <w:rFonts w:asciiTheme="minorHAnsi" w:hAnsiTheme="minorHAnsi" w:cstheme="minorHAnsi"/>
                <w:b/>
                <w:bCs/>
                <w:color w:val="0D0D0D"/>
                <w:sz w:val="20"/>
                <w:szCs w:val="20"/>
              </w:rPr>
            </w:pPr>
            <w:r w:rsidRPr="00C1747E">
              <w:rPr>
                <w:rFonts w:asciiTheme="minorHAnsi" w:hAnsiTheme="minorHAnsi" w:cstheme="minorHAnsi"/>
                <w:b/>
                <w:bCs/>
                <w:color w:val="0D0D0D"/>
                <w:sz w:val="20"/>
                <w:szCs w:val="20"/>
              </w:rPr>
              <w:t>Allocations at 17</w:t>
            </w:r>
            <w:r>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October</w:t>
            </w:r>
            <w:r>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2012 (%)</w:t>
            </w:r>
          </w:p>
        </w:tc>
        <w:tc>
          <w:tcPr>
            <w:tcW w:w="2268" w:type="dxa"/>
            <w:tcBorders>
              <w:top w:val="single" w:sz="4" w:space="0" w:color="auto"/>
              <w:left w:val="nil"/>
              <w:bottom w:val="nil"/>
              <w:right w:val="nil"/>
            </w:tcBorders>
          </w:tcPr>
          <w:p w:rsidR="00E13C25" w:rsidRPr="00C1747E" w:rsidRDefault="00E13C25" w:rsidP="009627C0">
            <w:pPr>
              <w:spacing w:line="120" w:lineRule="atLeast"/>
              <w:jc w:val="center"/>
              <w:rPr>
                <w:rFonts w:asciiTheme="minorHAnsi" w:hAnsiTheme="minorHAnsi" w:cstheme="minorHAnsi"/>
                <w:b/>
                <w:bCs/>
                <w:color w:val="0D0D0D"/>
                <w:sz w:val="20"/>
                <w:szCs w:val="20"/>
              </w:rPr>
            </w:pPr>
            <w:r w:rsidRPr="00C1747E">
              <w:rPr>
                <w:rFonts w:asciiTheme="minorHAnsi" w:hAnsiTheme="minorHAnsi" w:cstheme="minorHAnsi"/>
                <w:b/>
                <w:bCs/>
                <w:color w:val="0D0D0D"/>
                <w:sz w:val="20"/>
                <w:szCs w:val="20"/>
              </w:rPr>
              <w:t>Allocations at 24</w:t>
            </w:r>
            <w:r>
              <w:rPr>
                <w:rFonts w:asciiTheme="minorHAnsi" w:hAnsiTheme="minorHAnsi" w:cstheme="minorHAnsi"/>
                <w:b/>
                <w:bCs/>
                <w:color w:val="0D0D0D"/>
                <w:sz w:val="20"/>
                <w:szCs w:val="20"/>
              </w:rPr>
              <w:t> </w:t>
            </w:r>
            <w:r w:rsidRPr="00C1747E">
              <w:rPr>
                <w:rFonts w:asciiTheme="minorHAnsi" w:hAnsiTheme="minorHAnsi" w:cstheme="minorHAnsi"/>
                <w:b/>
                <w:bCs/>
                <w:color w:val="0D0D0D"/>
                <w:sz w:val="20"/>
                <w:szCs w:val="20"/>
              </w:rPr>
              <w:t>October 2012 (%)</w:t>
            </w:r>
          </w:p>
        </w:tc>
      </w:tr>
      <w:tr w:rsidR="00C1747E" w:rsidRPr="00C1747E" w:rsidTr="009627C0">
        <w:trPr>
          <w:cantSplit/>
          <w:trHeight w:val="57"/>
          <w:jc w:val="center"/>
        </w:trPr>
        <w:tc>
          <w:tcPr>
            <w:tcW w:w="3327" w:type="dxa"/>
            <w:tcBorders>
              <w:top w:val="single" w:sz="4" w:space="0" w:color="auto"/>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Victoria </w:t>
            </w:r>
            <w:proofErr w:type="spellStart"/>
            <w:r w:rsidRPr="00C1747E">
              <w:rPr>
                <w:rFonts w:asciiTheme="minorHAnsi" w:hAnsiTheme="minorHAnsi" w:cstheme="minorHAnsi"/>
                <w:b/>
                <w:sz w:val="20"/>
                <w:szCs w:val="20"/>
                <w:lang w:val="en-US"/>
              </w:rPr>
              <w:t>Campaspe</w:t>
            </w:r>
            <w:proofErr w:type="spellEnd"/>
          </w:p>
        </w:tc>
        <w:tc>
          <w:tcPr>
            <w:tcW w:w="2268" w:type="dxa"/>
            <w:tcBorders>
              <w:top w:val="single" w:sz="4" w:space="0" w:color="auto"/>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single" w:sz="4" w:space="0" w:color="auto"/>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68</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68</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Victoria </w:t>
            </w:r>
            <w:proofErr w:type="spellStart"/>
            <w:r w:rsidRPr="00C1747E">
              <w:rPr>
                <w:rFonts w:asciiTheme="minorHAnsi" w:hAnsiTheme="minorHAnsi" w:cstheme="minorHAnsi"/>
                <w:b/>
                <w:sz w:val="20"/>
                <w:szCs w:val="20"/>
                <w:lang w:val="en-US"/>
              </w:rPr>
              <w:t>Loddon</w:t>
            </w:r>
            <w:proofErr w:type="spellEnd"/>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 xml:space="preserve">Victoria </w:t>
            </w:r>
            <w:proofErr w:type="spellStart"/>
            <w:r w:rsidRPr="00C1747E">
              <w:rPr>
                <w:rFonts w:asciiTheme="minorHAnsi" w:hAnsiTheme="minorHAnsi" w:cstheme="minorHAnsi"/>
                <w:b/>
                <w:sz w:val="20"/>
                <w:szCs w:val="20"/>
                <w:lang w:val="en-US"/>
              </w:rPr>
              <w:t>Bullarook</w:t>
            </w:r>
            <w:proofErr w:type="spellEnd"/>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Victoria Broken</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ind w:left="720"/>
              <w:rPr>
                <w:rFonts w:asciiTheme="minorHAnsi" w:hAnsiTheme="minorHAnsi" w:cstheme="minorHAnsi"/>
                <w:sz w:val="20"/>
                <w:szCs w:val="20"/>
                <w:lang w:val="en-US"/>
              </w:rPr>
            </w:pPr>
            <w:r w:rsidRPr="00C1747E">
              <w:rPr>
                <w:rFonts w:asciiTheme="minorHAnsi" w:hAnsiTheme="minorHAnsi" w:cstheme="minorHAnsi"/>
                <w:sz w:val="20"/>
                <w:szCs w:val="20"/>
                <w:lang w:val="en-US"/>
              </w:rPr>
              <w:t>Low Reliability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0</w:t>
            </w:r>
          </w:p>
        </w:tc>
      </w:tr>
      <w:tr w:rsidR="00C1747E" w:rsidRPr="00C1747E" w:rsidTr="009627C0">
        <w:trPr>
          <w:cantSplit/>
          <w:trHeight w:val="57"/>
          <w:jc w:val="center"/>
        </w:trPr>
        <w:tc>
          <w:tcPr>
            <w:tcW w:w="3327" w:type="dxa"/>
            <w:tcBorders>
              <w:top w:val="nil"/>
              <w:left w:val="nil"/>
              <w:bottom w:val="nil"/>
              <w:right w:val="nil"/>
            </w:tcBorders>
            <w:vAlign w:val="center"/>
          </w:tcPr>
          <w:p w:rsidR="00C1747E" w:rsidRPr="00C1747E" w:rsidRDefault="00C1747E" w:rsidP="009627C0">
            <w:pPr>
              <w:spacing w:line="120" w:lineRule="atLeast"/>
              <w:rPr>
                <w:rFonts w:asciiTheme="minorHAnsi" w:hAnsiTheme="minorHAnsi" w:cstheme="minorHAnsi"/>
                <w:b/>
                <w:sz w:val="20"/>
                <w:szCs w:val="20"/>
                <w:lang w:val="en-US"/>
              </w:rPr>
            </w:pPr>
            <w:r w:rsidRPr="00C1747E">
              <w:rPr>
                <w:rFonts w:asciiTheme="minorHAnsi" w:hAnsiTheme="minorHAnsi" w:cstheme="minorHAnsi"/>
                <w:b/>
                <w:sz w:val="20"/>
                <w:szCs w:val="20"/>
                <w:lang w:val="en-US"/>
              </w:rPr>
              <w:t>South Australia Murray Valley</w:t>
            </w: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c>
          <w:tcPr>
            <w:tcW w:w="2268" w:type="dxa"/>
            <w:tcBorders>
              <w:top w:val="nil"/>
              <w:left w:val="nil"/>
              <w:bottom w:val="nil"/>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p>
        </w:tc>
      </w:tr>
      <w:tr w:rsidR="00C1747E" w:rsidRPr="00C1747E" w:rsidTr="009627C0">
        <w:trPr>
          <w:cantSplit/>
          <w:trHeight w:val="66"/>
          <w:jc w:val="center"/>
        </w:trPr>
        <w:tc>
          <w:tcPr>
            <w:tcW w:w="3327" w:type="dxa"/>
            <w:tcBorders>
              <w:top w:val="nil"/>
              <w:left w:val="nil"/>
              <w:bottom w:val="single" w:sz="4" w:space="0" w:color="auto"/>
              <w:right w:val="nil"/>
            </w:tcBorders>
            <w:vAlign w:val="center"/>
          </w:tcPr>
          <w:p w:rsidR="00C1747E" w:rsidRPr="00C1747E" w:rsidRDefault="00C1747E" w:rsidP="009627C0">
            <w:pPr>
              <w:spacing w:line="120" w:lineRule="atLeast"/>
              <w:rPr>
                <w:rFonts w:asciiTheme="minorHAnsi" w:hAnsiTheme="minorHAnsi" w:cstheme="minorHAnsi"/>
                <w:sz w:val="20"/>
                <w:szCs w:val="20"/>
                <w:lang w:val="en-US"/>
              </w:rPr>
            </w:pPr>
            <w:r w:rsidRPr="00C1747E">
              <w:rPr>
                <w:rFonts w:asciiTheme="minorHAnsi" w:hAnsiTheme="minorHAnsi" w:cstheme="minorHAnsi"/>
                <w:sz w:val="20"/>
                <w:szCs w:val="20"/>
                <w:lang w:val="en-US"/>
              </w:rPr>
              <w:tab/>
              <w:t>High security</w:t>
            </w:r>
          </w:p>
        </w:tc>
        <w:tc>
          <w:tcPr>
            <w:tcW w:w="2268" w:type="dxa"/>
            <w:tcBorders>
              <w:top w:val="nil"/>
              <w:left w:val="nil"/>
              <w:bottom w:val="single" w:sz="4" w:space="0" w:color="auto"/>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c>
          <w:tcPr>
            <w:tcW w:w="2268" w:type="dxa"/>
            <w:tcBorders>
              <w:top w:val="nil"/>
              <w:left w:val="nil"/>
              <w:bottom w:val="single" w:sz="4" w:space="0" w:color="auto"/>
              <w:right w:val="nil"/>
            </w:tcBorders>
            <w:vAlign w:val="center"/>
          </w:tcPr>
          <w:p w:rsidR="00C1747E" w:rsidRPr="00C1747E" w:rsidRDefault="00C1747E" w:rsidP="009627C0">
            <w:pPr>
              <w:tabs>
                <w:tab w:val="decimal" w:pos="1014"/>
              </w:tabs>
              <w:spacing w:line="120" w:lineRule="atLeast"/>
              <w:rPr>
                <w:rFonts w:asciiTheme="minorHAnsi" w:hAnsiTheme="minorHAnsi" w:cstheme="minorHAnsi"/>
                <w:sz w:val="20"/>
                <w:szCs w:val="20"/>
              </w:rPr>
            </w:pPr>
            <w:r w:rsidRPr="00C1747E">
              <w:rPr>
                <w:rFonts w:asciiTheme="minorHAnsi" w:hAnsiTheme="minorHAnsi" w:cstheme="minorHAnsi"/>
                <w:sz w:val="20"/>
                <w:szCs w:val="20"/>
              </w:rPr>
              <w:t>100</w:t>
            </w:r>
          </w:p>
        </w:tc>
      </w:tr>
    </w:tbl>
    <w:p w:rsidR="00D147ED" w:rsidRDefault="000E7BB7">
      <w:pPr>
        <w:rPr>
          <w:rFonts w:ascii="Cambria" w:hAnsi="Cambria" w:cs="Arial"/>
          <w:bCs/>
          <w:color w:val="4F81BD" w:themeColor="accent1"/>
          <w:szCs w:val="34"/>
        </w:rPr>
      </w:pPr>
      <w:r>
        <w:rPr>
          <w:rFonts w:asciiTheme="minorHAnsi" w:hAnsiTheme="minorHAnsi" w:cstheme="minorHAnsi"/>
          <w:sz w:val="20"/>
          <w:szCs w:val="20"/>
        </w:rPr>
        <w:t>*Carryover water may also be available.</w:t>
      </w:r>
      <w:r>
        <w:rPr>
          <w:rFonts w:cs="Arial"/>
          <w:b/>
          <w:color w:val="4F81BD" w:themeColor="accent1"/>
          <w:szCs w:val="34"/>
        </w:rPr>
        <w:br w:type="page"/>
      </w:r>
    </w:p>
    <w:p w:rsidR="00D147ED" w:rsidRDefault="000E7BB7">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Commodities</w:t>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t>Production and commodities</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 xml:space="preserve">The world wheat indicator price (US No. 2 hard red winter, free on board Gulf ports) averaged US$377 a tonne in the week ending 23 October 2012, compared with US$373 a tonne in the previous week. </w:t>
      </w:r>
    </w:p>
    <w:p w:rsidR="00780AC0" w:rsidRPr="001B4C3B" w:rsidRDefault="00780AC0" w:rsidP="001B4C3B">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The government of Ukraine announced that, through cooperation w</w:t>
      </w:r>
      <w:r w:rsidR="001B4C3B">
        <w:rPr>
          <w:rFonts w:asciiTheme="minorHAnsi" w:hAnsiTheme="minorHAnsi" w:cstheme="minorHAnsi"/>
          <w:szCs w:val="20"/>
        </w:rPr>
        <w:t xml:space="preserve">ith exporters, wheat exports in </w:t>
      </w:r>
      <w:r w:rsidR="001B4C3B">
        <w:rPr>
          <w:rFonts w:asciiTheme="minorHAnsi" w:hAnsiTheme="minorHAnsi" w:cstheme="minorHAnsi"/>
          <w:szCs w:val="20"/>
        </w:rPr>
        <w:br/>
      </w:r>
      <w:r w:rsidRPr="001B4C3B">
        <w:rPr>
          <w:rFonts w:asciiTheme="minorHAnsi" w:hAnsiTheme="minorHAnsi" w:cstheme="minorHAnsi"/>
          <w:szCs w:val="20"/>
        </w:rPr>
        <w:t>2012</w:t>
      </w:r>
      <w:r w:rsidR="001B4C3B" w:rsidRPr="001B4C3B">
        <w:rPr>
          <w:rFonts w:asciiTheme="minorHAnsi" w:hAnsiTheme="minorHAnsi" w:cstheme="minorHAnsi"/>
          <w:szCs w:val="20"/>
        </w:rPr>
        <w:t>–1</w:t>
      </w:r>
      <w:r w:rsidRPr="001B4C3B">
        <w:rPr>
          <w:rFonts w:asciiTheme="minorHAnsi" w:hAnsiTheme="minorHAnsi" w:cstheme="minorHAnsi"/>
          <w:szCs w:val="20"/>
        </w:rPr>
        <w:t>3 could increase from 4 million tonnes to 5 million tonnes.</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 xml:space="preserve">The world coarse grains indicator price (US No. 2 yellow corn, free on board Gulf ports) averaged US$325 a tonne for the week ending 24 October 2012, compared with US$321 a tonne in the previous week.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 xml:space="preserve">The world canola indicator price (Rapeseed, Europe, free on board Hamburg) averaged US$638 a tonne in the week ending 23 October 2012, compared with US$626 a tonne in the previous week.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 xml:space="preserve">The world cotton indicator price (the </w:t>
      </w:r>
      <w:proofErr w:type="spellStart"/>
      <w:r w:rsidRPr="00780AC0">
        <w:rPr>
          <w:rFonts w:asciiTheme="minorHAnsi" w:hAnsiTheme="minorHAnsi" w:cstheme="minorHAnsi"/>
          <w:szCs w:val="20"/>
        </w:rPr>
        <w:t>Cotlook</w:t>
      </w:r>
      <w:proofErr w:type="spellEnd"/>
      <w:r w:rsidRPr="00780AC0">
        <w:rPr>
          <w:rFonts w:asciiTheme="minorHAnsi" w:hAnsiTheme="minorHAnsi" w:cstheme="minorHAnsi"/>
          <w:szCs w:val="20"/>
        </w:rPr>
        <w:t xml:space="preserve"> ‘A’ index) averaged US84.6 cents a pound in the week ending 24 October 2012, compared with US81.1 cents a pound in the previous week.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 xml:space="preserve">The world sugar indicator price (Intercontinental Exchange, nearby futures, No. 11 contract) averaged US19.9 cents a pound in the week ending 24 October 2012, similar to the previous week.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Wholesale prices of avocado (</w:t>
      </w:r>
      <w:proofErr w:type="spellStart"/>
      <w:r w:rsidRPr="00780AC0">
        <w:rPr>
          <w:rFonts w:asciiTheme="minorHAnsi" w:hAnsiTheme="minorHAnsi" w:cstheme="minorHAnsi"/>
          <w:szCs w:val="20"/>
        </w:rPr>
        <w:t>hass</w:t>
      </w:r>
      <w:proofErr w:type="spellEnd"/>
      <w:r w:rsidRPr="00780AC0">
        <w:rPr>
          <w:rFonts w:asciiTheme="minorHAnsi" w:hAnsiTheme="minorHAnsi" w:cstheme="minorHAnsi"/>
          <w:szCs w:val="20"/>
        </w:rPr>
        <w:t xml:space="preserve">), rockmelon, strawberry and watermelon (seedless) were lower in the week ending 20 October 2012, but there were small price increases </w:t>
      </w:r>
      <w:r w:rsidR="00E13C25">
        <w:rPr>
          <w:rFonts w:asciiTheme="minorHAnsi" w:hAnsiTheme="minorHAnsi" w:cstheme="minorHAnsi"/>
          <w:szCs w:val="20"/>
        </w:rPr>
        <w:t>for</w:t>
      </w:r>
      <w:r w:rsidRPr="00780AC0">
        <w:rPr>
          <w:rFonts w:asciiTheme="minorHAnsi" w:hAnsiTheme="minorHAnsi" w:cstheme="minorHAnsi"/>
          <w:szCs w:val="20"/>
        </w:rPr>
        <w:t xml:space="preserve"> banana (</w:t>
      </w:r>
      <w:proofErr w:type="spellStart"/>
      <w:proofErr w:type="gramStart"/>
      <w:r w:rsidRPr="00780AC0">
        <w:rPr>
          <w:rFonts w:asciiTheme="minorHAnsi" w:hAnsiTheme="minorHAnsi" w:cstheme="minorHAnsi"/>
          <w:szCs w:val="20"/>
        </w:rPr>
        <w:t>cavendish</w:t>
      </w:r>
      <w:proofErr w:type="spellEnd"/>
      <w:proofErr w:type="gramEnd"/>
      <w:r w:rsidRPr="00780AC0">
        <w:rPr>
          <w:rFonts w:asciiTheme="minorHAnsi" w:hAnsiTheme="minorHAnsi" w:cstheme="minorHAnsi"/>
          <w:szCs w:val="20"/>
        </w:rPr>
        <w:t xml:space="preserve">) and </w:t>
      </w:r>
      <w:proofErr w:type="spellStart"/>
      <w:r w:rsidRPr="00780AC0">
        <w:rPr>
          <w:rFonts w:asciiTheme="minorHAnsi" w:hAnsiTheme="minorHAnsi" w:cstheme="minorHAnsi"/>
          <w:szCs w:val="20"/>
        </w:rPr>
        <w:t>smoothleaf</w:t>
      </w:r>
      <w:proofErr w:type="spellEnd"/>
      <w:r w:rsidRPr="00780AC0">
        <w:rPr>
          <w:rFonts w:asciiTheme="minorHAnsi" w:hAnsiTheme="minorHAnsi" w:cstheme="minorHAnsi"/>
          <w:szCs w:val="20"/>
        </w:rPr>
        <w:t xml:space="preserve"> pineapple.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Vegetable wholesale prices were generally lower in the week ending 20 October 2012, with the exception of cauliflower and green pea. Tomato wholesale prices are returning to more normal levels after a period of high prices due to unusually cool weather in key producing regions.</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The Queensland young cattle indicator price (300-400 kg live weight C3) rose by 1 per cent to 340</w:t>
      </w:r>
      <w:r>
        <w:rPr>
          <w:rFonts w:asciiTheme="minorHAnsi" w:hAnsiTheme="minorHAnsi" w:cstheme="minorHAnsi"/>
          <w:szCs w:val="20"/>
        </w:rPr>
        <w:t> </w:t>
      </w:r>
      <w:r w:rsidRPr="00780AC0">
        <w:rPr>
          <w:rFonts w:asciiTheme="minorHAnsi" w:hAnsiTheme="minorHAnsi" w:cstheme="minorHAnsi"/>
          <w:szCs w:val="20"/>
        </w:rPr>
        <w:t>cents per kilogram in the week ending 19 October 2012</w:t>
      </w:r>
      <w:r>
        <w:rPr>
          <w:rFonts w:asciiTheme="minorHAnsi" w:hAnsiTheme="minorHAnsi" w:cstheme="minorHAnsi"/>
          <w:szCs w:val="20"/>
        </w:rPr>
        <w:t>, compared with the previous week</w:t>
      </w:r>
      <w:r w:rsidRPr="00780AC0">
        <w:rPr>
          <w:rFonts w:asciiTheme="minorHAnsi" w:hAnsiTheme="minorHAnsi" w:cstheme="minorHAnsi"/>
          <w:szCs w:val="20"/>
        </w:rPr>
        <w:t xml:space="preserve">. In other states, the young cattle indicator rose 4 per cent in South Australia to 334 cents per kilogram while declining in </w:t>
      </w:r>
      <w:proofErr w:type="gramStart"/>
      <w:r w:rsidRPr="00780AC0">
        <w:rPr>
          <w:rFonts w:asciiTheme="minorHAnsi" w:hAnsiTheme="minorHAnsi" w:cstheme="minorHAnsi"/>
          <w:szCs w:val="20"/>
        </w:rPr>
        <w:t>both  New</w:t>
      </w:r>
      <w:proofErr w:type="gramEnd"/>
      <w:r w:rsidRPr="00780AC0">
        <w:rPr>
          <w:rFonts w:asciiTheme="minorHAnsi" w:hAnsiTheme="minorHAnsi" w:cstheme="minorHAnsi"/>
          <w:szCs w:val="20"/>
        </w:rPr>
        <w:t xml:space="preserve"> South Wales (down 2 per cent) and Victoria (1 per cent) to 364 cents and 356 cents, respectively. </w:t>
      </w:r>
    </w:p>
    <w:p w:rsidR="00780AC0"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Saleyard lamb prices fell in all states in the week ending 19 October 2012. The largest decline was in Western Australian where the lamb indicator price (18-22kg fat score 2-4) fell by 11 per cent to 270</w:t>
      </w:r>
      <w:r>
        <w:rPr>
          <w:rFonts w:asciiTheme="minorHAnsi" w:hAnsiTheme="minorHAnsi" w:cstheme="minorHAnsi"/>
          <w:szCs w:val="20"/>
        </w:rPr>
        <w:t> </w:t>
      </w:r>
      <w:r w:rsidRPr="00780AC0">
        <w:rPr>
          <w:rFonts w:asciiTheme="minorHAnsi" w:hAnsiTheme="minorHAnsi" w:cstheme="minorHAnsi"/>
          <w:szCs w:val="20"/>
        </w:rPr>
        <w:t>cents per kilogram. The fall largely reflects a 54 per cent i</w:t>
      </w:r>
      <w:r w:rsidR="00E13C25">
        <w:rPr>
          <w:rFonts w:asciiTheme="minorHAnsi" w:hAnsiTheme="minorHAnsi" w:cstheme="minorHAnsi"/>
          <w:szCs w:val="20"/>
        </w:rPr>
        <w:t>ncrease in the number</w:t>
      </w:r>
      <w:r w:rsidRPr="00780AC0">
        <w:rPr>
          <w:rFonts w:asciiTheme="minorHAnsi" w:hAnsiTheme="minorHAnsi" w:cstheme="minorHAnsi"/>
          <w:szCs w:val="20"/>
        </w:rPr>
        <w:t xml:space="preserve"> of lambs offered for sale over the previous week and continued weak buyer demand.  In other states, the lamb indicator price declined by 4 per cent in both New South Wales and Victoria and by 1 per cent in South Australia. </w:t>
      </w:r>
    </w:p>
    <w:p w:rsidR="00D147ED" w:rsidRPr="00780AC0" w:rsidRDefault="00780AC0" w:rsidP="00780AC0">
      <w:pPr>
        <w:pStyle w:val="ListBullet"/>
        <w:numPr>
          <w:ilvl w:val="0"/>
          <w:numId w:val="7"/>
        </w:numPr>
        <w:spacing w:before="40" w:after="40"/>
        <w:ind w:left="357" w:hanging="357"/>
        <w:rPr>
          <w:rFonts w:asciiTheme="minorHAnsi" w:hAnsiTheme="minorHAnsi" w:cstheme="minorHAnsi"/>
          <w:szCs w:val="20"/>
        </w:rPr>
      </w:pPr>
      <w:r w:rsidRPr="00780AC0">
        <w:rPr>
          <w:rFonts w:asciiTheme="minorHAnsi" w:hAnsiTheme="minorHAnsi" w:cstheme="minorHAnsi"/>
          <w:szCs w:val="20"/>
        </w:rPr>
        <w:t>The Australian Eastern Market Indicator price for wool rose by 4 per cent in the week ending 18</w:t>
      </w:r>
      <w:r>
        <w:rPr>
          <w:rFonts w:asciiTheme="minorHAnsi" w:hAnsiTheme="minorHAnsi" w:cstheme="minorHAnsi"/>
          <w:szCs w:val="20"/>
        </w:rPr>
        <w:t> </w:t>
      </w:r>
      <w:r w:rsidRPr="00780AC0">
        <w:rPr>
          <w:rFonts w:asciiTheme="minorHAnsi" w:hAnsiTheme="minorHAnsi" w:cstheme="minorHAnsi"/>
          <w:szCs w:val="20"/>
        </w:rPr>
        <w:t>October</w:t>
      </w:r>
      <w:r>
        <w:rPr>
          <w:rFonts w:asciiTheme="minorHAnsi" w:hAnsiTheme="minorHAnsi" w:cstheme="minorHAnsi"/>
          <w:szCs w:val="20"/>
        </w:rPr>
        <w:t> </w:t>
      </w:r>
      <w:r w:rsidRPr="00780AC0">
        <w:rPr>
          <w:rFonts w:asciiTheme="minorHAnsi" w:hAnsiTheme="minorHAnsi" w:cstheme="minorHAnsi"/>
          <w:szCs w:val="20"/>
        </w:rPr>
        <w:t>2012 to 1014 cents a kilogram clean. The total number of bales offered at sale was 50 585 bales, 36 per cent higher than previous week and the second largest off</w:t>
      </w:r>
      <w:r w:rsidR="001B4C3B">
        <w:rPr>
          <w:rFonts w:asciiTheme="minorHAnsi" w:hAnsiTheme="minorHAnsi" w:cstheme="minorHAnsi"/>
          <w:szCs w:val="20"/>
        </w:rPr>
        <w:t>ering for the 2012–</w:t>
      </w:r>
      <w:r w:rsidRPr="00780AC0">
        <w:rPr>
          <w:rFonts w:asciiTheme="minorHAnsi" w:hAnsiTheme="minorHAnsi" w:cstheme="minorHAnsi"/>
          <w:szCs w:val="20"/>
        </w:rPr>
        <w:t>13 season to date.</w:t>
      </w:r>
    </w:p>
    <w:p w:rsidR="00D147ED" w:rsidRDefault="000E7BB7">
      <w:pPr>
        <w:rPr>
          <w:rFonts w:asciiTheme="minorHAnsi" w:hAnsiTheme="minorHAnsi" w:cstheme="minorHAnsi"/>
          <w:sz w:val="20"/>
          <w:szCs w:val="20"/>
        </w:rPr>
      </w:pPr>
      <w:r>
        <w:rPr>
          <w:rFonts w:asciiTheme="minorHAnsi" w:hAnsiTheme="minorHAnsi" w:cstheme="minorHAnsi"/>
          <w:szCs w:val="20"/>
        </w:rPr>
        <w:br w:type="page"/>
      </w:r>
    </w:p>
    <w:p w:rsidR="00D147ED" w:rsidRDefault="00D147ED">
      <w:pPr>
        <w:pStyle w:val="ListBullet"/>
        <w:numPr>
          <w:ilvl w:val="0"/>
          <w:numId w:val="7"/>
        </w:numPr>
        <w:spacing w:before="40" w:after="40"/>
        <w:ind w:left="357" w:hanging="357"/>
        <w:rPr>
          <w:rFonts w:asciiTheme="minorHAnsi" w:hAnsiTheme="minorHAnsi" w:cstheme="minorHAnsi"/>
          <w:szCs w:val="20"/>
        </w:rPr>
        <w:sectPr w:rsidR="00D147ED">
          <w:footerReference w:type="default" r:id="rId20"/>
          <w:footerReference w:type="first" r:id="rId21"/>
          <w:type w:val="continuous"/>
          <w:pgSz w:w="11906" w:h="16838"/>
          <w:pgMar w:top="1440" w:right="1440" w:bottom="1276" w:left="1440" w:header="709" w:footer="709" w:gutter="0"/>
          <w:cols w:space="708"/>
          <w:titlePg/>
          <w:docGrid w:linePitch="360"/>
        </w:sectPr>
      </w:pP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Recent movements in fruit and vegetable prices</w:t>
      </w:r>
    </w:p>
    <w:p w:rsidR="00D147ED" w:rsidRDefault="000E7BB7">
      <w:pPr>
        <w:ind w:left="426"/>
        <w:rPr>
          <w:rFonts w:ascii="Calibri" w:hAnsi="Calibri" w:cs="Arial"/>
          <w:b/>
          <w:bCs/>
          <w:iCs/>
        </w:rPr>
      </w:pPr>
      <w:r>
        <w:rPr>
          <w:rFonts w:ascii="Calibri" w:hAnsi="Calibri" w:cs="Arial"/>
          <w:b/>
          <w:bCs/>
          <w:iCs/>
        </w:rPr>
        <w:t>Weekly wholesale prices for selected fruit, Melbourne market</w:t>
      </w:r>
    </w:p>
    <w:p w:rsidR="00D147ED" w:rsidRDefault="00BE784A">
      <w:pPr>
        <w:rPr>
          <w:rFonts w:ascii="Calibri" w:hAnsi="Calibri"/>
        </w:rPr>
      </w:pPr>
      <w:r w:rsidRPr="00BE784A">
        <w:rPr>
          <w:noProof/>
        </w:rPr>
        <w:drawing>
          <wp:inline distT="0" distB="0" distL="0" distR="0">
            <wp:extent cx="4165333" cy="2654667"/>
            <wp:effectExtent l="19050" t="0" r="6617" b="0"/>
            <wp:docPr id="5" name="Picture 2" descr="Line graph showing weekly wholesale prices for pineapple (smoothleaf), watermelon (seedless), rockmelon, and banana (cavendish), Melbourne market in the week ending 20 Octo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165333" cy="2654667"/>
                    </a:xfrm>
                    <a:prstGeom prst="rect">
                      <a:avLst/>
                    </a:prstGeom>
                    <a:noFill/>
                    <a:ln w="9525">
                      <a:noFill/>
                      <a:miter lim="800000"/>
                      <a:headEnd/>
                      <a:tailEnd/>
                    </a:ln>
                  </pic:spPr>
                </pic:pic>
              </a:graphicData>
            </a:graphic>
          </wp:inline>
        </w:drawing>
      </w:r>
      <w:r w:rsidR="000E7BB7">
        <w:rPr>
          <w:noProof/>
        </w:rPr>
        <w:t xml:space="preserve"> </w:t>
      </w:r>
      <w:r w:rsidRPr="00BE784A">
        <w:rPr>
          <w:noProof/>
        </w:rPr>
        <w:drawing>
          <wp:inline distT="0" distB="0" distL="0" distR="0">
            <wp:extent cx="4165333" cy="2654667"/>
            <wp:effectExtent l="19050" t="0" r="6617" b="0"/>
            <wp:docPr id="6" name="Picture 5" descr="Line graph showing weekly wholesale prices for kiwfruit (hayward), strawberry, apple (royal gala), and avacado (hass), Melbourne market in the week ending 20 Octo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165333" cy="2654667"/>
                    </a:xfrm>
                    <a:prstGeom prst="rect">
                      <a:avLst/>
                    </a:prstGeom>
                    <a:noFill/>
                    <a:ln w="9525">
                      <a:noFill/>
                      <a:miter lim="800000"/>
                      <a:headEnd/>
                      <a:tailEnd/>
                    </a:ln>
                  </pic:spPr>
                </pic:pic>
              </a:graphicData>
            </a:graphic>
          </wp:inline>
        </w:drawing>
      </w:r>
    </w:p>
    <w:p w:rsidR="00D147ED" w:rsidRDefault="000E7BB7">
      <w:pPr>
        <w:ind w:left="425"/>
        <w:rPr>
          <w:rFonts w:ascii="Calibri" w:hAnsi="Calibri" w:cs="Arial"/>
          <w:b/>
          <w:bCs/>
          <w:iCs/>
        </w:rPr>
      </w:pPr>
      <w:r>
        <w:rPr>
          <w:rFonts w:ascii="Calibri" w:hAnsi="Calibri" w:cs="Arial"/>
          <w:b/>
          <w:bCs/>
          <w:iCs/>
        </w:rPr>
        <w:t>Weekly wholesale prices for selected vegetables, Melbourne market</w:t>
      </w:r>
    </w:p>
    <w:p w:rsidR="00D147ED" w:rsidRDefault="00BE784A">
      <w:pPr>
        <w:rPr>
          <w:rFonts w:ascii="Calibri" w:hAnsi="Calibri"/>
        </w:rPr>
      </w:pPr>
      <w:r w:rsidRPr="00BE784A">
        <w:rPr>
          <w:noProof/>
        </w:rPr>
        <w:drawing>
          <wp:inline distT="0" distB="0" distL="0" distR="0">
            <wp:extent cx="4003048" cy="2692190"/>
            <wp:effectExtent l="19050" t="0" r="0" b="0"/>
            <wp:docPr id="9" name="Picture 8" descr="Line graph showing weekly wholesale prices for onion (brown), cauliflower, peas (green) and tomato (field gourmet), Melbourne market in the week ending 20 Octo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003048" cy="2692190"/>
                    </a:xfrm>
                    <a:prstGeom prst="rect">
                      <a:avLst/>
                    </a:prstGeom>
                    <a:noFill/>
                    <a:ln w="9525">
                      <a:noFill/>
                      <a:miter lim="800000"/>
                      <a:headEnd/>
                      <a:tailEnd/>
                    </a:ln>
                  </pic:spPr>
                </pic:pic>
              </a:graphicData>
            </a:graphic>
          </wp:inline>
        </w:drawing>
      </w:r>
      <w:r w:rsidR="000E7BB7">
        <w:rPr>
          <w:noProof/>
        </w:rPr>
        <w:t xml:space="preserve"> </w:t>
      </w:r>
      <w:r w:rsidRPr="00BE784A">
        <w:rPr>
          <w:noProof/>
        </w:rPr>
        <w:drawing>
          <wp:inline distT="0" distB="0" distL="0" distR="0">
            <wp:extent cx="4165333" cy="2654667"/>
            <wp:effectExtent l="19050" t="0" r="6617" b="0"/>
            <wp:docPr id="11" name="Picture 11" descr="Line graph showing weekly wholesale prices for broccoli, lettuce (iceberg), pumpkin (grey), and bean (round, stringless) Melbourne market in the week ending 20 Octo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165333" cy="2654667"/>
                    </a:xfrm>
                    <a:prstGeom prst="rect">
                      <a:avLst/>
                    </a:prstGeom>
                    <a:noFill/>
                    <a:ln w="9525">
                      <a:noFill/>
                      <a:miter lim="800000"/>
                      <a:headEnd/>
                      <a:tailEnd/>
                    </a:ln>
                  </pic:spPr>
                </pic:pic>
              </a:graphicData>
            </a:graphic>
          </wp:inline>
        </w:drawing>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Selected world indicator prices</w:t>
      </w:r>
    </w:p>
    <w:p w:rsidR="00D147ED" w:rsidRDefault="00516E57">
      <w:pPr>
        <w:pStyle w:val="ListBullet"/>
        <w:numPr>
          <w:ilvl w:val="0"/>
          <w:numId w:val="0"/>
        </w:numPr>
        <w:spacing w:before="100"/>
        <w:rPr>
          <w:rFonts w:ascii="Calibri" w:hAnsi="Calibri" w:cs="Arial"/>
          <w:b/>
          <w:bCs/>
          <w:sz w:val="28"/>
          <w:szCs w:val="28"/>
        </w:rPr>
      </w:pPr>
      <w:r w:rsidRPr="00516E57">
        <w:rPr>
          <w:noProof/>
        </w:rPr>
        <w:drawing>
          <wp:inline distT="0" distB="0" distL="0" distR="0">
            <wp:extent cx="3894000" cy="2786667"/>
            <wp:effectExtent l="19050" t="0" r="0" b="0"/>
            <wp:docPr id="26" name="Picture 23" descr="Line graph showing the difference in indicator prices for world cotton since 2010. The price at 24 October 2012 was 85 cents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516E57">
        <w:rPr>
          <w:noProof/>
        </w:rPr>
        <w:drawing>
          <wp:inline distT="0" distB="0" distL="0" distR="0">
            <wp:extent cx="3901334" cy="2786667"/>
            <wp:effectExtent l="19050" t="0" r="3916" b="0"/>
            <wp:docPr id="29" name="Picture 26" descr="Line graph showing the difference in the Australian exchange rate (US dollars) since 2010. The exchange rate at 24 October 2012 is 1.0261666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901334" cy="2786667"/>
                    </a:xfrm>
                    <a:prstGeom prst="rect">
                      <a:avLst/>
                    </a:prstGeom>
                    <a:noFill/>
                    <a:ln w="9525">
                      <a:noFill/>
                      <a:miter lim="800000"/>
                      <a:headEnd/>
                      <a:tailEnd/>
                    </a:ln>
                  </pic:spPr>
                </pic:pic>
              </a:graphicData>
            </a:graphic>
          </wp:inline>
        </w:drawing>
      </w:r>
      <w:r w:rsidR="000E7BB7">
        <w:rPr>
          <w:noProof/>
        </w:rPr>
        <w:t xml:space="preserve"> </w:t>
      </w:r>
      <w:r w:rsidRPr="00516E57">
        <w:rPr>
          <w:noProof/>
        </w:rPr>
        <w:drawing>
          <wp:inline distT="0" distB="0" distL="0" distR="0">
            <wp:extent cx="3894000" cy="2786667"/>
            <wp:effectExtent l="19050" t="0" r="0" b="0"/>
            <wp:docPr id="41" name="Picture 29" descr="Line graph showing the world sugar indicator price (US cents) since 2010. The value at 24 October 2012 was 19.9 cents a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516E57">
        <w:rPr>
          <w:noProof/>
        </w:rPr>
        <w:drawing>
          <wp:inline distT="0" distB="0" distL="0" distR="0">
            <wp:extent cx="3894000" cy="2786667"/>
            <wp:effectExtent l="19050" t="0" r="0" b="0"/>
            <wp:docPr id="42" name="Picture 32" descr="Line graph showing the Eastern Market Indicator wool price in Australian cents. The price at 18 October 2012 was 1014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Crop indicator prices</w:t>
      </w:r>
    </w:p>
    <w:p w:rsidR="00D147ED" w:rsidRDefault="00C24979">
      <w:pPr>
        <w:rPr>
          <w:rFonts w:ascii="Calibri" w:hAnsi="Calibri"/>
          <w:sz w:val="20"/>
          <w:szCs w:val="20"/>
        </w:rPr>
      </w:pPr>
      <w:r w:rsidRPr="00C24979">
        <w:rPr>
          <w:noProof/>
        </w:rPr>
        <w:drawing>
          <wp:inline distT="0" distB="0" distL="0" distR="0">
            <wp:extent cx="3996667" cy="2786667"/>
            <wp:effectExtent l="19050" t="0" r="3833" b="0"/>
            <wp:docPr id="43" name="Picture 35" descr="Line graph showing the difference in trading prices for canola since 2010. The price at 22 October 2012 was $559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3996667" cy="2786667"/>
                    </a:xfrm>
                    <a:prstGeom prst="rect">
                      <a:avLst/>
                    </a:prstGeom>
                    <a:noFill/>
                    <a:ln w="9525">
                      <a:noFill/>
                      <a:miter lim="800000"/>
                      <a:headEnd/>
                      <a:tailEnd/>
                    </a:ln>
                  </pic:spPr>
                </pic:pic>
              </a:graphicData>
            </a:graphic>
          </wp:inline>
        </w:drawing>
      </w:r>
      <w:r w:rsidR="000E7BB7">
        <w:rPr>
          <w:noProof/>
        </w:rPr>
        <w:t xml:space="preserve"> </w:t>
      </w:r>
      <w:r w:rsidRPr="00C24979">
        <w:rPr>
          <w:noProof/>
        </w:rPr>
        <w:drawing>
          <wp:inline distT="0" distB="0" distL="0" distR="0">
            <wp:extent cx="3894000" cy="2786667"/>
            <wp:effectExtent l="19050" t="0" r="0" b="0"/>
            <wp:docPr id="44" name="Picture 38" descr="Line graph showing the difference in trading prices for feed barley since 2010. The price at 23 October 2012 was $276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C24979">
        <w:rPr>
          <w:noProof/>
        </w:rPr>
        <w:drawing>
          <wp:inline distT="0" distB="0" distL="0" distR="0">
            <wp:extent cx="3894000" cy="2786667"/>
            <wp:effectExtent l="19050" t="0" r="0" b="0"/>
            <wp:docPr id="45" name="Picture 41" descr="Line graph showing the difference in trading prices for grain sorghum since 2010. The price at 23 October 2012 was $275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C24979">
        <w:rPr>
          <w:noProof/>
        </w:rPr>
        <w:drawing>
          <wp:inline distT="0" distB="0" distL="0" distR="0">
            <wp:extent cx="3894000" cy="2786667"/>
            <wp:effectExtent l="19050" t="0" r="0" b="0"/>
            <wp:docPr id="46" name="Picture 44" descr="Line graph showing the difference in trading prices for feed wheat since 2010. The price at 23 October 2012 was $296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p>
    <w:p w:rsidR="00D147ED" w:rsidRDefault="000E7BB7">
      <w:pPr>
        <w:pStyle w:val="Heading3"/>
        <w:numPr>
          <w:ilvl w:val="1"/>
          <w:numId w:val="4"/>
        </w:numPr>
        <w:spacing w:line="276" w:lineRule="auto"/>
        <w:ind w:left="709" w:hanging="709"/>
        <w:rPr>
          <w:rFonts w:cs="Arial"/>
          <w:color w:val="auto"/>
          <w:sz w:val="28"/>
          <w:szCs w:val="28"/>
        </w:rPr>
      </w:pPr>
      <w:r>
        <w:rPr>
          <w:rFonts w:cs="Arial"/>
          <w:color w:val="auto"/>
          <w:sz w:val="28"/>
          <w:szCs w:val="28"/>
        </w:rPr>
        <w:lastRenderedPageBreak/>
        <w:t>Livestock indicator prices</w:t>
      </w:r>
    </w:p>
    <w:p w:rsidR="00D147ED" w:rsidRDefault="005F1A4E">
      <w:pPr>
        <w:rPr>
          <w:rFonts w:ascii="Calibri" w:hAnsi="Calibri"/>
          <w:sz w:val="20"/>
          <w:szCs w:val="20"/>
        </w:rPr>
      </w:pPr>
      <w:r w:rsidRPr="005F1A4E">
        <w:rPr>
          <w:noProof/>
        </w:rPr>
        <w:drawing>
          <wp:inline distT="0" distB="0" distL="0" distR="0">
            <wp:extent cx="3894000" cy="2786667"/>
            <wp:effectExtent l="19050" t="0" r="0" b="0"/>
            <wp:docPr id="47" name="Picture 47" descr="Line graph showing the difference in indicator prices for young cattle since 2010. The price at 19 October 2012 was 340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5F1A4E">
        <w:rPr>
          <w:noProof/>
        </w:rPr>
        <w:drawing>
          <wp:inline distT="0" distB="0" distL="0" distR="0">
            <wp:extent cx="3894000" cy="2786667"/>
            <wp:effectExtent l="19050" t="0" r="0" b="0"/>
            <wp:docPr id="50" name="Picture 50" descr="Line graph showing the difference in indicator prices for mutton since 2010. The price at 19 October 2012 was 150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5F1A4E">
        <w:rPr>
          <w:noProof/>
        </w:rPr>
        <w:drawing>
          <wp:inline distT="0" distB="0" distL="0" distR="0">
            <wp:extent cx="3894000" cy="2786667"/>
            <wp:effectExtent l="19050" t="0" r="0" b="0"/>
            <wp:docPr id="53" name="Picture 53" descr="Line graph showing the difference in indicator prices for lamb since 2010. The price at 19 October 2012 was 358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3894000" cy="2786667"/>
                    </a:xfrm>
                    <a:prstGeom prst="rect">
                      <a:avLst/>
                    </a:prstGeom>
                    <a:noFill/>
                    <a:ln w="9525">
                      <a:noFill/>
                      <a:miter lim="800000"/>
                      <a:headEnd/>
                      <a:tailEnd/>
                    </a:ln>
                  </pic:spPr>
                </pic:pic>
              </a:graphicData>
            </a:graphic>
          </wp:inline>
        </w:drawing>
      </w:r>
      <w:r w:rsidR="000E7BB7">
        <w:rPr>
          <w:noProof/>
        </w:rPr>
        <w:t xml:space="preserve"> </w:t>
      </w:r>
      <w:r w:rsidRPr="005F1A4E">
        <w:rPr>
          <w:noProof/>
        </w:rPr>
        <w:drawing>
          <wp:inline distT="0" distB="0" distL="0" distR="0">
            <wp:extent cx="3916001" cy="2786667"/>
            <wp:effectExtent l="19050" t="0" r="8299" b="0"/>
            <wp:docPr id="56" name="Picture 56" descr="Line graph showing the difference in indicator prices for baconer pigs since 2010. The price at 19 October 2012 was 289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3916001" cy="2786667"/>
                    </a:xfrm>
                    <a:prstGeom prst="rect">
                      <a:avLst/>
                    </a:prstGeom>
                    <a:noFill/>
                    <a:ln w="9525">
                      <a:noFill/>
                      <a:miter lim="800000"/>
                      <a:headEnd/>
                      <a:tailEnd/>
                    </a:ln>
                  </pic:spPr>
                </pic:pic>
              </a:graphicData>
            </a:graphic>
          </wp:inline>
        </w:drawing>
      </w:r>
    </w:p>
    <w:p w:rsidR="00D147ED" w:rsidRDefault="00D147ED"/>
    <w:p w:rsidR="00D147ED" w:rsidRDefault="00D147ED">
      <w:pPr>
        <w:pStyle w:val="ListParagraph"/>
        <w:numPr>
          <w:ilvl w:val="0"/>
          <w:numId w:val="6"/>
        </w:numPr>
        <w:rPr>
          <w:rFonts w:cs="Arial"/>
          <w:sz w:val="36"/>
          <w:szCs w:val="36"/>
        </w:rPr>
        <w:sectPr w:rsidR="00D147ED">
          <w:pgSz w:w="16838" w:h="11906" w:orient="landscape"/>
          <w:pgMar w:top="1080" w:right="1440" w:bottom="1080" w:left="1440" w:header="709" w:footer="709" w:gutter="0"/>
          <w:cols w:space="708"/>
          <w:docGrid w:linePitch="360"/>
        </w:sectPr>
      </w:pPr>
    </w:p>
    <w:p w:rsidR="00D147ED" w:rsidRDefault="000E7BB7">
      <w:pPr>
        <w:pStyle w:val="Heading2"/>
        <w:numPr>
          <w:ilvl w:val="0"/>
          <w:numId w:val="4"/>
        </w:numPr>
        <w:spacing w:before="0" w:after="0" w:line="276" w:lineRule="auto"/>
        <w:jc w:val="center"/>
        <w:rPr>
          <w:rFonts w:cs="Arial"/>
          <w:b/>
          <w:color w:val="auto"/>
          <w:szCs w:val="34"/>
        </w:rPr>
      </w:pPr>
      <w:r>
        <w:rPr>
          <w:rFonts w:cs="Arial"/>
          <w:b/>
          <w:color w:val="auto"/>
          <w:szCs w:val="34"/>
        </w:rPr>
        <w:lastRenderedPageBreak/>
        <w:t>Data attribution</w:t>
      </w:r>
    </w:p>
    <w:p w:rsidR="00D147ED" w:rsidRDefault="000E7BB7">
      <w:pPr>
        <w:pStyle w:val="Heading3"/>
        <w:spacing w:before="0" w:after="60"/>
        <w:rPr>
          <w:rFonts w:ascii="Calibri" w:hAnsi="Calibri" w:cs="Arial"/>
          <w:color w:val="auto"/>
          <w:sz w:val="28"/>
          <w:szCs w:val="28"/>
        </w:rPr>
      </w:pPr>
      <w:r>
        <w:rPr>
          <w:rFonts w:ascii="Calibri" w:hAnsi="Calibri" w:cs="Arial"/>
          <w:color w:val="auto"/>
          <w:sz w:val="28"/>
          <w:szCs w:val="28"/>
        </w:rPr>
        <w:t>Climate</w:t>
      </w:r>
    </w:p>
    <w:p w:rsidR="00D147ED" w:rsidRDefault="000E7BB7">
      <w:pPr>
        <w:pStyle w:val="ListBullet"/>
        <w:numPr>
          <w:ilvl w:val="0"/>
          <w:numId w:val="0"/>
        </w:numPr>
        <w:spacing w:before="60"/>
        <w:ind w:left="357" w:hanging="357"/>
        <w:rPr>
          <w:rFonts w:ascii="Calibri" w:hAnsi="Calibri"/>
          <w:b/>
        </w:rPr>
      </w:pPr>
      <w:r>
        <w:rPr>
          <w:rFonts w:ascii="Calibri" w:hAnsi="Calibri"/>
          <w:b/>
        </w:rPr>
        <w:t>Bureau of Meteorology</w:t>
      </w:r>
    </w:p>
    <w:p w:rsidR="00D147ED" w:rsidRDefault="000E7BB7">
      <w:pPr>
        <w:pStyle w:val="ListBullet"/>
        <w:numPr>
          <w:ilvl w:val="0"/>
          <w:numId w:val="5"/>
        </w:numPr>
        <w:spacing w:before="80"/>
        <w:ind w:left="448" w:hanging="448"/>
        <w:rPr>
          <w:rFonts w:ascii="Calibri" w:hAnsi="Calibri"/>
        </w:rPr>
      </w:pPr>
      <w:r>
        <w:rPr>
          <w:rFonts w:ascii="Calibri" w:hAnsi="Calibri"/>
        </w:rPr>
        <w:t xml:space="preserve">Weekly rainfall totals: </w:t>
      </w:r>
      <w:hyperlink r:id="rId38" w:history="1">
        <w:r>
          <w:rPr>
            <w:rStyle w:val="Hyperlink"/>
            <w:rFonts w:ascii="Calibri" w:hAnsi="Calibri"/>
            <w:color w:val="3333FF"/>
          </w:rPr>
          <w:t>www.bom.gov.au/jsp/awap/rain/index.jsp</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Monthly and last 3-months rainfall percentiles: </w:t>
      </w:r>
      <w:hyperlink r:id="rId39" w:history="1">
        <w:r>
          <w:rPr>
            <w:rStyle w:val="Hyperlink"/>
            <w:rFonts w:ascii="Calibri" w:hAnsi="Calibri"/>
          </w:rPr>
          <w:t>www.bom.gov.au/jsp/awap/</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Temperature anomalies: </w:t>
      </w:r>
      <w:hyperlink r:id="rId40" w:history="1">
        <w:r>
          <w:rPr>
            <w:rStyle w:val="Hyperlink"/>
            <w:rFonts w:ascii="Calibri" w:hAnsi="Calibri"/>
          </w:rPr>
          <w:t>www.bom.gov.au/jsp/awap/</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Rainfall forecast: </w:t>
      </w:r>
      <w:hyperlink r:id="rId41" w:history="1">
        <w:r>
          <w:rPr>
            <w:rStyle w:val="Hyperlink"/>
            <w:rFonts w:ascii="Calibri" w:hAnsi="Calibri"/>
            <w:color w:val="3333FF"/>
          </w:rPr>
          <w:t>www.bom.gov.au/jsp/watl/rainfall/pme.jsp</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Seasonal outlook: </w:t>
      </w:r>
      <w:hyperlink r:id="rId42" w:history="1">
        <w:r>
          <w:rPr>
            <w:rStyle w:val="Hyperlink"/>
            <w:rFonts w:ascii="Calibri" w:hAnsi="Calibri"/>
            <w:color w:val="3333FF"/>
          </w:rPr>
          <w:t>www.bom.gov.au/climate/ahead</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Drought statement: </w:t>
      </w:r>
      <w:hyperlink r:id="rId43" w:history="1">
        <w:r>
          <w:rPr>
            <w:rStyle w:val="Hyperlink"/>
            <w:rFonts w:ascii="Calibri" w:hAnsi="Calibri"/>
            <w:color w:val="3333FF"/>
          </w:rPr>
          <w:t>www.bom.gov.au/climate/drought/drought.shtml</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ENSO Wrap-Up: </w:t>
      </w:r>
      <w:hyperlink r:id="rId44" w:history="1">
        <w:r>
          <w:rPr>
            <w:rStyle w:val="Hyperlink"/>
            <w:rFonts w:ascii="Calibri" w:hAnsi="Calibri"/>
            <w:color w:val="3333FF"/>
          </w:rPr>
          <w:t>www.bom.gov.au/climate/enso/</w:t>
        </w:r>
      </w:hyperlink>
    </w:p>
    <w:p w:rsidR="00D147ED" w:rsidRDefault="000E7BB7">
      <w:pPr>
        <w:pStyle w:val="ListBullet"/>
        <w:numPr>
          <w:ilvl w:val="0"/>
          <w:numId w:val="5"/>
        </w:numPr>
        <w:spacing w:before="80"/>
        <w:ind w:left="448" w:hanging="448"/>
        <w:rPr>
          <w:rFonts w:ascii="Calibri" w:hAnsi="Calibri"/>
        </w:rPr>
      </w:pPr>
      <w:r>
        <w:rPr>
          <w:rFonts w:ascii="Calibri" w:hAnsi="Calibri"/>
        </w:rPr>
        <w:t>Soil moisture (</w:t>
      </w:r>
      <w:proofErr w:type="spellStart"/>
      <w:r>
        <w:rPr>
          <w:rFonts w:ascii="Calibri" w:hAnsi="Calibri"/>
        </w:rPr>
        <w:t>BoM</w:t>
      </w:r>
      <w:proofErr w:type="spellEnd"/>
      <w:r>
        <w:rPr>
          <w:rFonts w:ascii="Calibri" w:hAnsi="Calibri"/>
        </w:rPr>
        <w:t xml:space="preserve">, CSIRO and the former Bureau of Rural Sciences): </w:t>
      </w:r>
      <w:hyperlink r:id="rId45" w:history="1">
        <w:r>
          <w:rPr>
            <w:rStyle w:val="Hyperlink"/>
            <w:rFonts w:ascii="Calibri" w:hAnsi="Calibri" w:cs="Arial"/>
            <w:color w:val="3333FF"/>
          </w:rPr>
          <w:t>www.eoc.csiro.au/</w:t>
        </w:r>
        <w:r>
          <w:rPr>
            <w:rStyle w:val="Hyperlink"/>
            <w:rFonts w:ascii="Calibri" w:hAnsi="Calibri" w:cs="Arial"/>
            <w:bCs/>
            <w:color w:val="3333FF"/>
          </w:rPr>
          <w:t>awap</w:t>
        </w:r>
        <w:r>
          <w:rPr>
            <w:rStyle w:val="Hyperlink"/>
            <w:rFonts w:ascii="Calibri" w:hAnsi="Calibri" w:cs="Arial"/>
            <w:color w:val="3333FF"/>
          </w:rPr>
          <w:t>/</w:t>
        </w:r>
      </w:hyperlink>
    </w:p>
    <w:p w:rsidR="00D147ED" w:rsidRDefault="000E7BB7">
      <w:pPr>
        <w:pStyle w:val="Heading3"/>
        <w:spacing w:before="0" w:after="60"/>
        <w:rPr>
          <w:rFonts w:ascii="Calibri" w:hAnsi="Calibri" w:cs="Arial"/>
          <w:color w:val="auto"/>
          <w:sz w:val="28"/>
          <w:szCs w:val="28"/>
        </w:rPr>
      </w:pPr>
      <w:r>
        <w:rPr>
          <w:rFonts w:ascii="Calibri" w:hAnsi="Calibri" w:cs="Arial"/>
          <w:color w:val="auto"/>
          <w:sz w:val="28"/>
          <w:szCs w:val="28"/>
        </w:rPr>
        <w:t>Water</w:t>
      </w:r>
    </w:p>
    <w:p w:rsidR="00D147ED" w:rsidRDefault="000E7BB7">
      <w:pPr>
        <w:pStyle w:val="ListBullet"/>
        <w:numPr>
          <w:ilvl w:val="0"/>
          <w:numId w:val="0"/>
        </w:numPr>
        <w:spacing w:before="60"/>
        <w:ind w:left="357" w:hanging="357"/>
        <w:rPr>
          <w:rFonts w:ascii="Calibri" w:hAnsi="Calibri"/>
          <w:b/>
        </w:rPr>
      </w:pPr>
      <w:r>
        <w:rPr>
          <w:rFonts w:ascii="Calibri" w:hAnsi="Calibri"/>
          <w:b/>
        </w:rPr>
        <w:t>New South Wales</w:t>
      </w:r>
    </w:p>
    <w:p w:rsidR="00D147ED" w:rsidRDefault="000E7BB7">
      <w:pPr>
        <w:pStyle w:val="ListBullet"/>
        <w:numPr>
          <w:ilvl w:val="0"/>
          <w:numId w:val="5"/>
        </w:numPr>
        <w:spacing w:before="80"/>
        <w:ind w:left="448" w:hanging="448"/>
        <w:rPr>
          <w:rFonts w:ascii="Calibri" w:hAnsi="Calibri"/>
        </w:rPr>
      </w:pPr>
      <w:r>
        <w:rPr>
          <w:rFonts w:ascii="Calibri" w:hAnsi="Calibri"/>
        </w:rPr>
        <w:t xml:space="preserve">New South Wales Water Information: </w:t>
      </w:r>
      <w:hyperlink r:id="rId46" w:history="1">
        <w:r>
          <w:rPr>
            <w:rStyle w:val="Hyperlink"/>
            <w:rFonts w:ascii="Calibri" w:hAnsi="Calibri"/>
            <w:color w:val="3333FF"/>
          </w:rPr>
          <w:t>http://waterinfo.nsw.gov.au/</w:t>
        </w:r>
      </w:hyperlink>
    </w:p>
    <w:p w:rsidR="00D147ED" w:rsidRDefault="000E7BB7">
      <w:pPr>
        <w:numPr>
          <w:ilvl w:val="0"/>
          <w:numId w:val="5"/>
        </w:numPr>
        <w:spacing w:before="80" w:line="288" w:lineRule="auto"/>
        <w:ind w:left="448" w:hanging="448"/>
        <w:rPr>
          <w:rFonts w:ascii="Calibri" w:hAnsi="Calibri"/>
          <w:sz w:val="20"/>
        </w:rPr>
      </w:pPr>
      <w:r>
        <w:rPr>
          <w:rFonts w:ascii="Calibri" w:hAnsi="Calibri"/>
          <w:sz w:val="20"/>
        </w:rPr>
        <w:t xml:space="preserve">New South Wales Office of Water, Department of Environment, Climate Change and Water: </w:t>
      </w:r>
      <w:hyperlink r:id="rId47" w:history="1">
        <w:r>
          <w:rPr>
            <w:rStyle w:val="Hyperlink"/>
            <w:rFonts w:ascii="Calibri" w:hAnsi="Calibri"/>
            <w:color w:val="3333FF"/>
            <w:sz w:val="20"/>
          </w:rPr>
          <w:t>www.water.nsw.gov.au/Home/default.aspx</w:t>
        </w:r>
      </w:hyperlink>
    </w:p>
    <w:p w:rsidR="00D147ED" w:rsidRDefault="000E7BB7">
      <w:pPr>
        <w:numPr>
          <w:ilvl w:val="0"/>
          <w:numId w:val="5"/>
        </w:numPr>
        <w:spacing w:before="80" w:line="288" w:lineRule="auto"/>
        <w:ind w:left="448" w:hanging="448"/>
        <w:rPr>
          <w:rFonts w:ascii="Calibri" w:hAnsi="Calibri"/>
          <w:sz w:val="20"/>
        </w:rPr>
      </w:pPr>
      <w:r>
        <w:rPr>
          <w:rFonts w:ascii="Calibri" w:hAnsi="Calibri"/>
          <w:sz w:val="20"/>
        </w:rPr>
        <w:t xml:space="preserve">Available water determinations register: </w:t>
      </w:r>
      <w:hyperlink r:id="rId48" w:history="1">
        <w:r>
          <w:rPr>
            <w:rStyle w:val="Hyperlink"/>
            <w:rFonts w:ascii="Calibri" w:hAnsi="Calibri"/>
            <w:color w:val="3333FF"/>
            <w:sz w:val="20"/>
          </w:rPr>
          <w:t>www.wix.nsw.gov.au/wma/DeterminationSearch.jsp?selectedRegister=Determination</w:t>
        </w:r>
      </w:hyperlink>
    </w:p>
    <w:p w:rsidR="00D147ED" w:rsidRDefault="000E7BB7">
      <w:pPr>
        <w:pStyle w:val="ListBullet"/>
        <w:numPr>
          <w:ilvl w:val="0"/>
          <w:numId w:val="5"/>
        </w:numPr>
        <w:spacing w:before="80"/>
        <w:ind w:left="448" w:hanging="448"/>
        <w:rPr>
          <w:rFonts w:ascii="Calibri" w:hAnsi="Calibri"/>
        </w:rPr>
      </w:pPr>
      <w:r>
        <w:rPr>
          <w:rFonts w:ascii="Calibri" w:hAnsi="Calibri"/>
        </w:rPr>
        <w:t xml:space="preserve">Snowy Hydro: </w:t>
      </w:r>
      <w:hyperlink r:id="rId49" w:history="1">
        <w:r>
          <w:rPr>
            <w:rStyle w:val="Hyperlink"/>
            <w:rFonts w:ascii="Calibri" w:hAnsi="Calibri"/>
            <w:color w:val="3333FF"/>
            <w:lang w:val="en-US"/>
          </w:rPr>
          <w:t>www.snowyhydro.com.au/lakeLevels.asp?pageID=47&amp;parentID=61&amp;grandParentID=4</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Queensland</w:t>
      </w:r>
    </w:p>
    <w:p w:rsidR="00D147ED" w:rsidRDefault="000E7BB7">
      <w:pPr>
        <w:pStyle w:val="ListBullet"/>
        <w:numPr>
          <w:ilvl w:val="0"/>
          <w:numId w:val="5"/>
        </w:numPr>
        <w:spacing w:before="80"/>
        <w:ind w:left="448" w:hanging="448"/>
        <w:rPr>
          <w:rFonts w:ascii="Calibri" w:hAnsi="Calibri"/>
          <w:b/>
        </w:rPr>
      </w:pPr>
      <w:proofErr w:type="spellStart"/>
      <w:r>
        <w:rPr>
          <w:rFonts w:ascii="Calibri" w:hAnsi="Calibri"/>
        </w:rPr>
        <w:t>Sunwater</w:t>
      </w:r>
      <w:proofErr w:type="spellEnd"/>
      <w:r>
        <w:rPr>
          <w:rFonts w:ascii="Calibri" w:hAnsi="Calibri"/>
        </w:rPr>
        <w:t xml:space="preserve">: </w:t>
      </w:r>
      <w:hyperlink r:id="rId50" w:history="1">
        <w:r>
          <w:rPr>
            <w:rStyle w:val="Hyperlink"/>
            <w:rFonts w:ascii="Calibri" w:hAnsi="Calibri"/>
            <w:color w:val="3333FF"/>
          </w:rPr>
          <w:t>www.sunwater.com.au</w:t>
        </w:r>
      </w:hyperlink>
    </w:p>
    <w:p w:rsidR="00D147ED" w:rsidRDefault="000E7BB7">
      <w:pPr>
        <w:pStyle w:val="ListBullet"/>
        <w:numPr>
          <w:ilvl w:val="0"/>
          <w:numId w:val="5"/>
        </w:numPr>
        <w:spacing w:before="80"/>
        <w:ind w:left="448" w:hanging="448"/>
        <w:rPr>
          <w:rFonts w:ascii="Calibri" w:hAnsi="Calibri"/>
        </w:rPr>
      </w:pPr>
      <w:proofErr w:type="spellStart"/>
      <w:r>
        <w:rPr>
          <w:rFonts w:ascii="Calibri" w:hAnsi="Calibri"/>
        </w:rPr>
        <w:t>seqwater</w:t>
      </w:r>
      <w:proofErr w:type="spellEnd"/>
      <w:r>
        <w:rPr>
          <w:rFonts w:ascii="Calibri" w:hAnsi="Calibri"/>
        </w:rPr>
        <w:t xml:space="preserve">: </w:t>
      </w:r>
      <w:hyperlink r:id="rId51" w:history="1">
        <w:r>
          <w:rPr>
            <w:rStyle w:val="Hyperlink"/>
            <w:rFonts w:ascii="Calibri" w:hAnsi="Calibri"/>
            <w:color w:val="3333FF"/>
          </w:rPr>
          <w:t>http://seqwater.com.au</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South Australia</w:t>
      </w:r>
    </w:p>
    <w:p w:rsidR="00D147ED" w:rsidRDefault="000E7BB7">
      <w:pPr>
        <w:pStyle w:val="ListBullet"/>
        <w:numPr>
          <w:ilvl w:val="0"/>
          <w:numId w:val="5"/>
        </w:numPr>
        <w:spacing w:before="80"/>
        <w:ind w:left="448" w:hanging="448"/>
        <w:rPr>
          <w:rFonts w:ascii="Calibri" w:hAnsi="Calibri"/>
        </w:rPr>
      </w:pPr>
      <w:r>
        <w:rPr>
          <w:rFonts w:ascii="Calibri" w:hAnsi="Calibri"/>
        </w:rPr>
        <w:t xml:space="preserve">SA Water: </w:t>
      </w:r>
      <w:hyperlink r:id="rId52" w:history="1">
        <w:r>
          <w:rPr>
            <w:rStyle w:val="Hyperlink"/>
            <w:rFonts w:ascii="Calibri" w:hAnsi="Calibri"/>
            <w:color w:val="3333FF"/>
          </w:rPr>
          <w:t>www.sawater.com.au/SAWater/Environment/TheRiverMurray/River+Murray+Levels.htm</w:t>
        </w:r>
      </w:hyperlink>
    </w:p>
    <w:p w:rsidR="00D147ED" w:rsidRDefault="000E7BB7">
      <w:pPr>
        <w:numPr>
          <w:ilvl w:val="0"/>
          <w:numId w:val="5"/>
        </w:numPr>
        <w:spacing w:before="80" w:line="288" w:lineRule="auto"/>
        <w:ind w:left="448" w:hanging="448"/>
        <w:rPr>
          <w:rFonts w:ascii="Calibri" w:hAnsi="Calibri"/>
          <w:sz w:val="20"/>
        </w:rPr>
      </w:pPr>
      <w:r>
        <w:rPr>
          <w:rFonts w:ascii="Calibri" w:hAnsi="Calibri"/>
          <w:sz w:val="20"/>
        </w:rPr>
        <w:t xml:space="preserve">South Australian Department of Water: </w:t>
      </w:r>
      <w:hyperlink r:id="rId53" w:history="1">
        <w:r>
          <w:rPr>
            <w:rStyle w:val="Hyperlink"/>
            <w:rFonts w:ascii="Calibri" w:hAnsi="Calibri"/>
            <w:color w:val="3333FF"/>
            <w:sz w:val="20"/>
          </w:rPr>
          <w:t>www.waterforgood.sa.gov.au/</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Victoria</w:t>
      </w:r>
    </w:p>
    <w:p w:rsidR="00D147ED" w:rsidRDefault="000E7BB7">
      <w:pPr>
        <w:pStyle w:val="ListBullet"/>
        <w:numPr>
          <w:ilvl w:val="0"/>
          <w:numId w:val="5"/>
        </w:numPr>
        <w:spacing w:before="80"/>
        <w:ind w:left="448" w:hanging="448"/>
        <w:rPr>
          <w:rFonts w:ascii="Calibri" w:hAnsi="Calibri"/>
          <w:b/>
        </w:rPr>
      </w:pPr>
      <w:r>
        <w:rPr>
          <w:rFonts w:ascii="Calibri" w:hAnsi="Calibri"/>
        </w:rPr>
        <w:t xml:space="preserve">Goulburn–Murray Water: </w:t>
      </w:r>
      <w:hyperlink r:id="rId54" w:history="1">
        <w:r>
          <w:rPr>
            <w:rStyle w:val="Hyperlink"/>
            <w:rFonts w:ascii="Calibri" w:hAnsi="Calibri"/>
            <w:color w:val="3333FF"/>
          </w:rPr>
          <w:t>www.g-mwater.com.au</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Water trading</w:t>
      </w:r>
    </w:p>
    <w:p w:rsidR="00D147ED" w:rsidRDefault="000E7BB7">
      <w:pPr>
        <w:pStyle w:val="ListBullet"/>
        <w:numPr>
          <w:ilvl w:val="0"/>
          <w:numId w:val="5"/>
        </w:numPr>
        <w:rPr>
          <w:rFonts w:ascii="Calibri" w:hAnsi="Calibri"/>
        </w:rPr>
      </w:pPr>
      <w:proofErr w:type="spellStart"/>
      <w:r>
        <w:rPr>
          <w:rFonts w:ascii="Calibri" w:hAnsi="Calibri"/>
        </w:rPr>
        <w:t>Waterexchange</w:t>
      </w:r>
      <w:proofErr w:type="spellEnd"/>
      <w:r>
        <w:rPr>
          <w:rFonts w:ascii="Calibri" w:hAnsi="Calibri"/>
        </w:rPr>
        <w:t xml:space="preserve">: </w:t>
      </w:r>
      <w:hyperlink r:id="rId55" w:history="1">
        <w:r>
          <w:rPr>
            <w:rStyle w:val="Hyperlink"/>
            <w:rFonts w:ascii="Calibri" w:hAnsi="Calibri"/>
            <w:color w:val="3333FF"/>
          </w:rPr>
          <w:t>www.waterexchange.com.au</w:t>
        </w:r>
      </w:hyperlink>
    </w:p>
    <w:p w:rsidR="00D147ED" w:rsidRDefault="000E7BB7">
      <w:pPr>
        <w:pStyle w:val="Heading3"/>
        <w:spacing w:before="0" w:after="60"/>
        <w:rPr>
          <w:rFonts w:ascii="Calibri" w:hAnsi="Calibri" w:cs="Arial"/>
          <w:color w:val="auto"/>
          <w:sz w:val="28"/>
          <w:szCs w:val="28"/>
        </w:rPr>
      </w:pPr>
      <w:r>
        <w:rPr>
          <w:rFonts w:ascii="Calibri" w:hAnsi="Calibri" w:cs="Arial"/>
          <w:color w:val="auto"/>
          <w:sz w:val="28"/>
          <w:szCs w:val="28"/>
        </w:rPr>
        <w:t>Commodities</w:t>
      </w:r>
    </w:p>
    <w:p w:rsidR="00D147ED" w:rsidRDefault="000E7BB7">
      <w:pPr>
        <w:pStyle w:val="ListBullet"/>
        <w:numPr>
          <w:ilvl w:val="0"/>
          <w:numId w:val="0"/>
        </w:numPr>
        <w:spacing w:before="60"/>
        <w:ind w:left="357" w:hanging="357"/>
        <w:rPr>
          <w:rFonts w:ascii="Calibri" w:hAnsi="Calibri"/>
          <w:b/>
        </w:rPr>
      </w:pPr>
      <w:r>
        <w:rPr>
          <w:rFonts w:ascii="Calibri" w:hAnsi="Calibri"/>
          <w:b/>
        </w:rPr>
        <w:t>Fruit and vegetables</w:t>
      </w:r>
    </w:p>
    <w:p w:rsidR="00D147ED" w:rsidRDefault="000E7BB7">
      <w:pPr>
        <w:pStyle w:val="ListBullet"/>
        <w:numPr>
          <w:ilvl w:val="0"/>
          <w:numId w:val="5"/>
        </w:numPr>
        <w:rPr>
          <w:rFonts w:ascii="Calibri" w:hAnsi="Calibri"/>
          <w:b/>
        </w:rPr>
      </w:pPr>
      <w:proofErr w:type="spellStart"/>
      <w:r>
        <w:rPr>
          <w:rFonts w:ascii="Calibri" w:hAnsi="Calibri"/>
        </w:rPr>
        <w:t>Datafresh</w:t>
      </w:r>
      <w:proofErr w:type="spellEnd"/>
      <w:r>
        <w:rPr>
          <w:rFonts w:ascii="Calibri" w:hAnsi="Calibri"/>
        </w:rPr>
        <w:t xml:space="preserve">: </w:t>
      </w:r>
      <w:hyperlink r:id="rId56" w:history="1">
        <w:r>
          <w:rPr>
            <w:rStyle w:val="Hyperlink"/>
            <w:rFonts w:ascii="Calibri" w:hAnsi="Calibri"/>
            <w:color w:val="3333FF"/>
          </w:rPr>
          <w:t>www.datafresh.com.au</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Mutton, lambs, wheat, barley and grain sorghum</w:t>
      </w:r>
    </w:p>
    <w:p w:rsidR="00D147ED" w:rsidRDefault="000E7BB7">
      <w:pPr>
        <w:pStyle w:val="ListBullet"/>
        <w:numPr>
          <w:ilvl w:val="0"/>
          <w:numId w:val="5"/>
        </w:numPr>
        <w:rPr>
          <w:rFonts w:ascii="Calibri" w:hAnsi="Calibri"/>
          <w:b/>
        </w:rPr>
      </w:pPr>
      <w:r>
        <w:rPr>
          <w:rFonts w:ascii="Calibri" w:hAnsi="Calibri"/>
        </w:rPr>
        <w:t xml:space="preserve">The Land: hardcopy or online at </w:t>
      </w:r>
      <w:hyperlink r:id="rId57" w:history="1">
        <w:r>
          <w:rPr>
            <w:rStyle w:val="Hyperlink"/>
            <w:rFonts w:ascii="Calibri" w:hAnsi="Calibri"/>
            <w:color w:val="3333FF"/>
          </w:rPr>
          <w:t>http://theland.farmonline.com.au/markets.aspx</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Cattle, mutton, lambs and pigs</w:t>
      </w:r>
    </w:p>
    <w:p w:rsidR="00D147ED" w:rsidRDefault="000E7BB7">
      <w:pPr>
        <w:pStyle w:val="ListBullet"/>
        <w:numPr>
          <w:ilvl w:val="0"/>
          <w:numId w:val="5"/>
        </w:numPr>
        <w:rPr>
          <w:rFonts w:ascii="Calibri" w:hAnsi="Calibri"/>
          <w:b/>
        </w:rPr>
      </w:pPr>
      <w:r>
        <w:rPr>
          <w:rFonts w:ascii="Calibri" w:hAnsi="Calibri"/>
        </w:rPr>
        <w:t xml:space="preserve">Meat and Livestock Australia: </w:t>
      </w:r>
      <w:hyperlink r:id="rId58" w:history="1">
        <w:r>
          <w:rPr>
            <w:rStyle w:val="Hyperlink"/>
            <w:rFonts w:ascii="Calibri" w:hAnsi="Calibri"/>
            <w:color w:val="3333FF"/>
          </w:rPr>
          <w:t>www.mla.com.au/Prices-and-markets</w:t>
        </w:r>
      </w:hyperlink>
    </w:p>
    <w:p w:rsidR="00D147ED" w:rsidRDefault="000E7BB7">
      <w:pPr>
        <w:pStyle w:val="ListBullet"/>
        <w:numPr>
          <w:ilvl w:val="0"/>
          <w:numId w:val="0"/>
        </w:numPr>
        <w:spacing w:before="60"/>
        <w:ind w:left="357" w:hanging="357"/>
        <w:rPr>
          <w:rFonts w:ascii="Calibri" w:hAnsi="Calibri"/>
          <w:b/>
        </w:rPr>
      </w:pPr>
      <w:r>
        <w:rPr>
          <w:rFonts w:ascii="Calibri" w:hAnsi="Calibri"/>
          <w:b/>
        </w:rPr>
        <w:t>Canola</w:t>
      </w:r>
    </w:p>
    <w:p w:rsidR="00D147ED" w:rsidRDefault="000E7BB7">
      <w:pPr>
        <w:pStyle w:val="ListBullet"/>
        <w:numPr>
          <w:ilvl w:val="0"/>
          <w:numId w:val="5"/>
        </w:numPr>
        <w:rPr>
          <w:rFonts w:ascii="Calibri" w:hAnsi="Calibri"/>
        </w:rPr>
      </w:pPr>
      <w:r>
        <w:rPr>
          <w:rFonts w:ascii="Calibri" w:hAnsi="Calibri"/>
        </w:rPr>
        <w:t>Weekly Times: hardcopy</w:t>
      </w:r>
    </w:p>
    <w:p w:rsidR="00D147ED" w:rsidRDefault="00D147ED">
      <w:pPr>
        <w:pStyle w:val="Heading3"/>
        <w:keepNext w:val="0"/>
        <w:keepLines w:val="0"/>
        <w:widowControl w:val="0"/>
        <w:spacing w:before="0" w:line="276" w:lineRule="auto"/>
        <w:rPr>
          <w:rFonts w:cs="Arial"/>
          <w:color w:val="auto"/>
          <w:sz w:val="22"/>
          <w:szCs w:val="22"/>
        </w:rPr>
      </w:pPr>
    </w:p>
    <w:sectPr w:rsidR="00D147ED" w:rsidSect="00D147ED">
      <w:pgSz w:w="11906" w:h="16838"/>
      <w:pgMar w:top="851"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8C3" w:rsidRDefault="009E18C3">
      <w:r>
        <w:separator/>
      </w:r>
    </w:p>
  </w:endnote>
  <w:endnote w:type="continuationSeparator" w:id="0">
    <w:p w:rsidR="009E18C3" w:rsidRDefault="009E18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C3" w:rsidRDefault="009E18C3">
    <w:pPr>
      <w:pStyle w:val="Footer"/>
    </w:pPr>
  </w:p>
  <w:p w:rsidR="009E18C3" w:rsidRDefault="009E18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C3" w:rsidRDefault="009E18C3">
    <w:pPr>
      <w:pStyle w:val="Footer"/>
      <w:pBdr>
        <w:top w:val="single" w:sz="4" w:space="1" w:color="auto"/>
      </w:pBdr>
      <w:jc w:val="center"/>
      <w:rPr>
        <w:rFonts w:ascii="Arial" w:hAnsi="Arial" w:cs="Arial"/>
        <w:sz w:val="20"/>
        <w:szCs w:val="20"/>
      </w:rPr>
    </w:pPr>
    <w:r>
      <w:rPr>
        <w:rFonts w:ascii="Arial" w:hAnsi="Arial" w:cs="Arial"/>
        <w:sz w:val="20"/>
        <w:szCs w:val="20"/>
      </w:rPr>
      <w:t xml:space="preserve">For more information or to subscribe, email </w:t>
    </w:r>
    <w:hyperlink r:id="rId1" w:history="1">
      <w:r>
        <w:rPr>
          <w:rStyle w:val="Hyperlink"/>
          <w:rFonts w:ascii="Arial" w:hAnsi="Arial" w:cs="Arial"/>
          <w:sz w:val="20"/>
          <w:szCs w:val="20"/>
        </w:rPr>
        <w:t>ClimateUpdate@daff.gov.au</w:t>
      </w:r>
    </w:hyperlink>
  </w:p>
  <w:p w:rsidR="009E18C3" w:rsidRDefault="009E18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8C3" w:rsidRDefault="009E18C3">
      <w:r>
        <w:separator/>
      </w:r>
    </w:p>
  </w:footnote>
  <w:footnote w:type="continuationSeparator" w:id="0">
    <w:p w:rsidR="009E18C3" w:rsidRDefault="009E1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2.7pt;height:2.7pt;visibility:visible" o:bullet="t">
        <v:imagedata r:id="rId1" o:title=""/>
      </v:shape>
    </w:pict>
  </w:numPicBullet>
  <w:abstractNum w:abstractNumId="0">
    <w:nsid w:val="05B77336"/>
    <w:multiLevelType w:val="multilevel"/>
    <w:tmpl w:val="B7388CC4"/>
    <w:lvl w:ilvl="0">
      <w:start w:val="1"/>
      <w:numFmt w:val="bullet"/>
      <w:lvlText w:val=""/>
      <w:lvlJc w:val="left"/>
      <w:pPr>
        <w:ind w:left="788" w:hanging="450"/>
      </w:pPr>
      <w:rPr>
        <w:rFonts w:ascii="Symbol" w:hAnsi="Symbol" w:hint="default"/>
        <w:color w:val="auto"/>
        <w:sz w:val="24"/>
        <w:szCs w:val="24"/>
      </w:rPr>
    </w:lvl>
    <w:lvl w:ilvl="1">
      <w:start w:val="1"/>
      <w:numFmt w:val="decimal"/>
      <w:lvlText w:val="%1.%2"/>
      <w:lvlJc w:val="left"/>
      <w:pPr>
        <w:ind w:left="1148" w:hanging="45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858" w:hanging="1080"/>
      </w:pPr>
      <w:rPr>
        <w:rFonts w:hint="default"/>
      </w:rPr>
    </w:lvl>
    <w:lvl w:ilvl="5">
      <w:start w:val="1"/>
      <w:numFmt w:val="decimal"/>
      <w:lvlText w:val="%1.%2.%3.%4.%5.%6"/>
      <w:lvlJc w:val="left"/>
      <w:pPr>
        <w:ind w:left="3218" w:hanging="1080"/>
      </w:pPr>
      <w:rPr>
        <w:rFonts w:hint="default"/>
      </w:rPr>
    </w:lvl>
    <w:lvl w:ilvl="6">
      <w:start w:val="1"/>
      <w:numFmt w:val="decimal"/>
      <w:lvlText w:val="%1.%2.%3.%4.%5.%6.%7"/>
      <w:lvlJc w:val="left"/>
      <w:pPr>
        <w:ind w:left="3938" w:hanging="1440"/>
      </w:pPr>
      <w:rPr>
        <w:rFonts w:hint="default"/>
      </w:rPr>
    </w:lvl>
    <w:lvl w:ilvl="7">
      <w:start w:val="1"/>
      <w:numFmt w:val="decimal"/>
      <w:lvlText w:val="%1.%2.%3.%4.%5.%6.%7.%8"/>
      <w:lvlJc w:val="left"/>
      <w:pPr>
        <w:ind w:left="4298" w:hanging="1440"/>
      </w:pPr>
      <w:rPr>
        <w:rFonts w:hint="default"/>
      </w:rPr>
    </w:lvl>
    <w:lvl w:ilvl="8">
      <w:start w:val="1"/>
      <w:numFmt w:val="decimal"/>
      <w:lvlText w:val="%1.%2.%3.%4.%5.%6.%7.%8.%9"/>
      <w:lvlJc w:val="left"/>
      <w:pPr>
        <w:ind w:left="4658" w:hanging="1440"/>
      </w:pPr>
      <w:rPr>
        <w:rFonts w:hint="default"/>
      </w:rPr>
    </w:lvl>
  </w:abstractNum>
  <w:abstractNum w:abstractNumId="1">
    <w:nsid w:val="37A14E6B"/>
    <w:multiLevelType w:val="hybridMultilevel"/>
    <w:tmpl w:val="641E3EEA"/>
    <w:lvl w:ilvl="0" w:tplc="0FF457B2">
      <w:start w:val="1"/>
      <w:numFmt w:val="bullet"/>
      <w:lvlText w:val=""/>
      <w:lvlPicBulletId w:val="0"/>
      <w:lvlJc w:val="left"/>
      <w:pPr>
        <w:tabs>
          <w:tab w:val="num" w:pos="720"/>
        </w:tabs>
        <w:ind w:left="720" w:hanging="360"/>
      </w:pPr>
      <w:rPr>
        <w:rFonts w:ascii="Symbol" w:hAnsi="Symbol" w:hint="default"/>
      </w:rPr>
    </w:lvl>
    <w:lvl w:ilvl="1" w:tplc="BCE887B2" w:tentative="1">
      <w:start w:val="1"/>
      <w:numFmt w:val="bullet"/>
      <w:lvlText w:val=""/>
      <w:lvlJc w:val="left"/>
      <w:pPr>
        <w:tabs>
          <w:tab w:val="num" w:pos="1440"/>
        </w:tabs>
        <w:ind w:left="1440" w:hanging="360"/>
      </w:pPr>
      <w:rPr>
        <w:rFonts w:ascii="Symbol" w:hAnsi="Symbol" w:hint="default"/>
      </w:rPr>
    </w:lvl>
    <w:lvl w:ilvl="2" w:tplc="32C4EE76" w:tentative="1">
      <w:start w:val="1"/>
      <w:numFmt w:val="bullet"/>
      <w:lvlText w:val=""/>
      <w:lvlJc w:val="left"/>
      <w:pPr>
        <w:tabs>
          <w:tab w:val="num" w:pos="2160"/>
        </w:tabs>
        <w:ind w:left="2160" w:hanging="360"/>
      </w:pPr>
      <w:rPr>
        <w:rFonts w:ascii="Symbol" w:hAnsi="Symbol" w:hint="default"/>
      </w:rPr>
    </w:lvl>
    <w:lvl w:ilvl="3" w:tplc="D2BE6744" w:tentative="1">
      <w:start w:val="1"/>
      <w:numFmt w:val="bullet"/>
      <w:lvlText w:val=""/>
      <w:lvlJc w:val="left"/>
      <w:pPr>
        <w:tabs>
          <w:tab w:val="num" w:pos="2880"/>
        </w:tabs>
        <w:ind w:left="2880" w:hanging="360"/>
      </w:pPr>
      <w:rPr>
        <w:rFonts w:ascii="Symbol" w:hAnsi="Symbol" w:hint="default"/>
      </w:rPr>
    </w:lvl>
    <w:lvl w:ilvl="4" w:tplc="03C4DEB2" w:tentative="1">
      <w:start w:val="1"/>
      <w:numFmt w:val="bullet"/>
      <w:lvlText w:val=""/>
      <w:lvlJc w:val="left"/>
      <w:pPr>
        <w:tabs>
          <w:tab w:val="num" w:pos="3600"/>
        </w:tabs>
        <w:ind w:left="3600" w:hanging="360"/>
      </w:pPr>
      <w:rPr>
        <w:rFonts w:ascii="Symbol" w:hAnsi="Symbol" w:hint="default"/>
      </w:rPr>
    </w:lvl>
    <w:lvl w:ilvl="5" w:tplc="049ACA1C" w:tentative="1">
      <w:start w:val="1"/>
      <w:numFmt w:val="bullet"/>
      <w:lvlText w:val=""/>
      <w:lvlJc w:val="left"/>
      <w:pPr>
        <w:tabs>
          <w:tab w:val="num" w:pos="4320"/>
        </w:tabs>
        <w:ind w:left="4320" w:hanging="360"/>
      </w:pPr>
      <w:rPr>
        <w:rFonts w:ascii="Symbol" w:hAnsi="Symbol" w:hint="default"/>
      </w:rPr>
    </w:lvl>
    <w:lvl w:ilvl="6" w:tplc="2E6082B2" w:tentative="1">
      <w:start w:val="1"/>
      <w:numFmt w:val="bullet"/>
      <w:lvlText w:val=""/>
      <w:lvlJc w:val="left"/>
      <w:pPr>
        <w:tabs>
          <w:tab w:val="num" w:pos="5040"/>
        </w:tabs>
        <w:ind w:left="5040" w:hanging="360"/>
      </w:pPr>
      <w:rPr>
        <w:rFonts w:ascii="Symbol" w:hAnsi="Symbol" w:hint="default"/>
      </w:rPr>
    </w:lvl>
    <w:lvl w:ilvl="7" w:tplc="7B9A46F2" w:tentative="1">
      <w:start w:val="1"/>
      <w:numFmt w:val="bullet"/>
      <w:lvlText w:val=""/>
      <w:lvlJc w:val="left"/>
      <w:pPr>
        <w:tabs>
          <w:tab w:val="num" w:pos="5760"/>
        </w:tabs>
        <w:ind w:left="5760" w:hanging="360"/>
      </w:pPr>
      <w:rPr>
        <w:rFonts w:ascii="Symbol" w:hAnsi="Symbol" w:hint="default"/>
      </w:rPr>
    </w:lvl>
    <w:lvl w:ilvl="8" w:tplc="21CE4E6E" w:tentative="1">
      <w:start w:val="1"/>
      <w:numFmt w:val="bullet"/>
      <w:lvlText w:val=""/>
      <w:lvlJc w:val="left"/>
      <w:pPr>
        <w:tabs>
          <w:tab w:val="num" w:pos="6480"/>
        </w:tabs>
        <w:ind w:left="6480" w:hanging="360"/>
      </w:pPr>
      <w:rPr>
        <w:rFonts w:ascii="Symbol" w:hAnsi="Symbol" w:hint="default"/>
      </w:rPr>
    </w:lvl>
  </w:abstractNum>
  <w:abstractNum w:abstractNumId="2">
    <w:nsid w:val="394B2FB3"/>
    <w:multiLevelType w:val="multilevel"/>
    <w:tmpl w:val="2F88E042"/>
    <w:lvl w:ilvl="0">
      <w:start w:val="1"/>
      <w:numFmt w:val="bullet"/>
      <w:pStyle w:val="List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1083"/>
        </w:tabs>
        <w:ind w:left="1083" w:hanging="360"/>
      </w:pPr>
      <w:rPr>
        <w:rFonts w:cs="Times New Roman"/>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3">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6A6917B5"/>
    <w:multiLevelType w:val="multilevel"/>
    <w:tmpl w:val="EB164310"/>
    <w:lvl w:ilvl="0">
      <w:start w:val="1"/>
      <w:numFmt w:val="decimal"/>
      <w:lvlText w:val="%1."/>
      <w:lvlJc w:val="left"/>
      <w:pPr>
        <w:ind w:left="360" w:hanging="360"/>
      </w:pPr>
      <w:rPr>
        <w:rFonts w:ascii="Cambria" w:hAnsi="Cambria" w:cs="Arial" w:hint="default"/>
        <w:color w:val="auto"/>
        <w:sz w:val="34"/>
        <w:szCs w:val="34"/>
      </w:rPr>
    </w:lvl>
    <w:lvl w:ilvl="1">
      <w:start w:val="1"/>
      <w:numFmt w:val="decimal"/>
      <w:lvlText w:val="%1.%2."/>
      <w:lvlJc w:val="left"/>
      <w:pPr>
        <w:ind w:left="432" w:hanging="432"/>
      </w:pPr>
      <w:rPr>
        <w:rFonts w:ascii="Cambria" w:hAnsi="Cambria"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033148B"/>
    <w:multiLevelType w:val="multilevel"/>
    <w:tmpl w:val="8CCA91C4"/>
    <w:lvl w:ilvl="0">
      <w:start w:val="1"/>
      <w:numFmt w:val="bullet"/>
      <w:lvlText w:val=""/>
      <w:lvlJc w:val="left"/>
      <w:pPr>
        <w:ind w:left="360" w:hanging="360"/>
      </w:pPr>
      <w:rPr>
        <w:rFonts w:ascii="Symbol" w:hAnsi="Symbol" w:hint="default"/>
        <w:color w:val="auto"/>
        <w:sz w:val="24"/>
        <w:szCs w:val="34"/>
      </w:rPr>
    </w:lvl>
    <w:lvl w:ilvl="1">
      <w:start w:val="1"/>
      <w:numFmt w:val="decimal"/>
      <w:lvlText w:val="%1.%2."/>
      <w:lvlJc w:val="left"/>
      <w:pPr>
        <w:ind w:left="432" w:hanging="432"/>
      </w:pPr>
      <w:rPr>
        <w:rFonts w:ascii="Cambria" w:hAnsi="Cambria"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E460E70"/>
    <w:multiLevelType w:val="hybridMultilevel"/>
    <w:tmpl w:val="FE54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 w:numId="7">
    <w:abstractNumId w:val="6"/>
  </w:num>
  <w:num w:numId="8">
    <w:abstractNumId w:val="7"/>
  </w:num>
  <w:num w:numId="9">
    <w:abstractNumId w:val="2"/>
  </w:num>
  <w:num w:numId="10">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_AMO_XmlVersion" w:val="Empty"/>
  </w:docVars>
  <w:rsids>
    <w:rsidRoot w:val="00D147ED"/>
    <w:rsid w:val="00052E73"/>
    <w:rsid w:val="00055882"/>
    <w:rsid w:val="000924BA"/>
    <w:rsid w:val="000E7BB7"/>
    <w:rsid w:val="0013720E"/>
    <w:rsid w:val="00166BBE"/>
    <w:rsid w:val="00186557"/>
    <w:rsid w:val="001B4C3B"/>
    <w:rsid w:val="00220D51"/>
    <w:rsid w:val="00244BAE"/>
    <w:rsid w:val="002512D4"/>
    <w:rsid w:val="002702F4"/>
    <w:rsid w:val="002D2C25"/>
    <w:rsid w:val="002D489C"/>
    <w:rsid w:val="002F35D8"/>
    <w:rsid w:val="0034796E"/>
    <w:rsid w:val="003C46D3"/>
    <w:rsid w:val="004310DF"/>
    <w:rsid w:val="00432E18"/>
    <w:rsid w:val="004B25AB"/>
    <w:rsid w:val="004C4C90"/>
    <w:rsid w:val="004C6F8D"/>
    <w:rsid w:val="004E78D6"/>
    <w:rsid w:val="004F1BC7"/>
    <w:rsid w:val="00516E57"/>
    <w:rsid w:val="00524F6E"/>
    <w:rsid w:val="00531172"/>
    <w:rsid w:val="00544F0D"/>
    <w:rsid w:val="005455F6"/>
    <w:rsid w:val="005710A7"/>
    <w:rsid w:val="005F1A4E"/>
    <w:rsid w:val="00637ABE"/>
    <w:rsid w:val="006651C6"/>
    <w:rsid w:val="006654A7"/>
    <w:rsid w:val="006C7EAD"/>
    <w:rsid w:val="006D4C8C"/>
    <w:rsid w:val="006D6FB6"/>
    <w:rsid w:val="00733D55"/>
    <w:rsid w:val="00752EB1"/>
    <w:rsid w:val="0076607E"/>
    <w:rsid w:val="00780AC0"/>
    <w:rsid w:val="00793D5B"/>
    <w:rsid w:val="007B352B"/>
    <w:rsid w:val="007B5380"/>
    <w:rsid w:val="007C591D"/>
    <w:rsid w:val="007C63D1"/>
    <w:rsid w:val="00864127"/>
    <w:rsid w:val="00893E5E"/>
    <w:rsid w:val="0089557D"/>
    <w:rsid w:val="008E25B0"/>
    <w:rsid w:val="008F5BA8"/>
    <w:rsid w:val="008F622F"/>
    <w:rsid w:val="00924374"/>
    <w:rsid w:val="009321C1"/>
    <w:rsid w:val="009345ED"/>
    <w:rsid w:val="00935BF0"/>
    <w:rsid w:val="00940B29"/>
    <w:rsid w:val="009902CD"/>
    <w:rsid w:val="009B6C87"/>
    <w:rsid w:val="009E0D17"/>
    <w:rsid w:val="009E18C3"/>
    <w:rsid w:val="009F3048"/>
    <w:rsid w:val="00A11161"/>
    <w:rsid w:val="00A1754D"/>
    <w:rsid w:val="00A27B3C"/>
    <w:rsid w:val="00A516CD"/>
    <w:rsid w:val="00A90E76"/>
    <w:rsid w:val="00AC560A"/>
    <w:rsid w:val="00AC5F02"/>
    <w:rsid w:val="00B2487E"/>
    <w:rsid w:val="00B3484B"/>
    <w:rsid w:val="00B40E65"/>
    <w:rsid w:val="00B70547"/>
    <w:rsid w:val="00B73AC7"/>
    <w:rsid w:val="00BA2BDD"/>
    <w:rsid w:val="00BE784A"/>
    <w:rsid w:val="00BF3A67"/>
    <w:rsid w:val="00BF742F"/>
    <w:rsid w:val="00C1747E"/>
    <w:rsid w:val="00C24979"/>
    <w:rsid w:val="00C361DC"/>
    <w:rsid w:val="00C37AB8"/>
    <w:rsid w:val="00C55BFC"/>
    <w:rsid w:val="00C65561"/>
    <w:rsid w:val="00C67A68"/>
    <w:rsid w:val="00CB741E"/>
    <w:rsid w:val="00CC1110"/>
    <w:rsid w:val="00CD5BEF"/>
    <w:rsid w:val="00CE2261"/>
    <w:rsid w:val="00CF3BAF"/>
    <w:rsid w:val="00D10A6A"/>
    <w:rsid w:val="00D147ED"/>
    <w:rsid w:val="00D346B4"/>
    <w:rsid w:val="00D531C0"/>
    <w:rsid w:val="00D75C3C"/>
    <w:rsid w:val="00D918E9"/>
    <w:rsid w:val="00DB37CA"/>
    <w:rsid w:val="00DD06FC"/>
    <w:rsid w:val="00DF4C2F"/>
    <w:rsid w:val="00E13C25"/>
    <w:rsid w:val="00E3445F"/>
    <w:rsid w:val="00E40711"/>
    <w:rsid w:val="00E425FB"/>
    <w:rsid w:val="00E85CC1"/>
    <w:rsid w:val="00E96BBB"/>
    <w:rsid w:val="00EA207E"/>
    <w:rsid w:val="00EB2488"/>
    <w:rsid w:val="00EB7462"/>
    <w:rsid w:val="00EF490F"/>
    <w:rsid w:val="00F22AA1"/>
    <w:rsid w:val="00F33FD4"/>
    <w:rsid w:val="00F42393"/>
    <w:rsid w:val="00F65728"/>
    <w:rsid w:val="00F93F10"/>
    <w:rsid w:val="00FC7B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7ED"/>
    <w:rPr>
      <w:sz w:val="24"/>
      <w:szCs w:val="24"/>
    </w:rPr>
  </w:style>
  <w:style w:type="paragraph" w:styleId="Heading1">
    <w:name w:val="heading 1"/>
    <w:basedOn w:val="Normal"/>
    <w:next w:val="Normal"/>
    <w:link w:val="Heading1Char"/>
    <w:uiPriority w:val="9"/>
    <w:qFormat/>
    <w:rsid w:val="00D147ED"/>
    <w:pPr>
      <w:keepNext/>
      <w:keepLines/>
      <w:pageBreakBefore/>
      <w:numPr>
        <w:numId w:val="3"/>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D147ED"/>
    <w:pPr>
      <w:keepNext/>
      <w:keepLines/>
      <w:spacing w:before="170" w:after="170" w:line="280" w:lineRule="atLeast"/>
      <w:outlineLvl w:val="1"/>
    </w:pPr>
    <w:rPr>
      <w:rFonts w:ascii="Cambria" w:hAnsi="Cambria"/>
      <w:bCs/>
      <w:color w:val="FF7900"/>
      <w:sz w:val="34"/>
      <w:szCs w:val="26"/>
      <w:lang w:eastAsia="en-US"/>
    </w:rPr>
  </w:style>
  <w:style w:type="paragraph" w:styleId="Heading3">
    <w:name w:val="heading 3"/>
    <w:basedOn w:val="Normal"/>
    <w:next w:val="Normal"/>
    <w:link w:val="Heading3Char"/>
    <w:unhideWhenUsed/>
    <w:qFormat/>
    <w:rsid w:val="00D147ED"/>
    <w:pPr>
      <w:keepNext/>
      <w:keepLines/>
      <w:spacing w:before="200"/>
      <w:outlineLvl w:val="2"/>
    </w:pPr>
    <w:rPr>
      <w:rFonts w:ascii="Cambria" w:hAnsi="Cambria"/>
      <w:b/>
      <w:bCs/>
      <w:color w:val="4F81BD"/>
    </w:rPr>
  </w:style>
  <w:style w:type="paragraph" w:styleId="Heading4">
    <w:name w:val="heading 4"/>
    <w:basedOn w:val="Normal"/>
    <w:next w:val="Normal"/>
    <w:link w:val="Heading4Char"/>
    <w:unhideWhenUsed/>
    <w:qFormat/>
    <w:rsid w:val="00D147ED"/>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1"/>
    <w:rsid w:val="00D147ED"/>
    <w:rPr>
      <w:rFonts w:ascii="Cambria" w:eastAsia="Times New Roman" w:hAnsi="Cambria" w:cs="Times New Roman"/>
      <w:bCs/>
      <w:color w:val="FF7900"/>
      <w:sz w:val="34"/>
      <w:szCs w:val="26"/>
      <w:lang w:eastAsia="en-US"/>
    </w:rPr>
  </w:style>
  <w:style w:type="character" w:styleId="Hyperlink">
    <w:name w:val="Hyperlink"/>
    <w:basedOn w:val="DefaultParagraphFont"/>
    <w:uiPriority w:val="99"/>
    <w:unhideWhenUsed/>
    <w:rsid w:val="00D147ED"/>
    <w:rPr>
      <w:color w:val="0000FF"/>
      <w:u w:val="single"/>
    </w:rPr>
  </w:style>
  <w:style w:type="paragraph" w:styleId="ListBullet">
    <w:name w:val="List Bullet"/>
    <w:basedOn w:val="Normal"/>
    <w:link w:val="ListBulletChar"/>
    <w:rsid w:val="00D147ED"/>
    <w:pPr>
      <w:numPr>
        <w:numId w:val="1"/>
      </w:numPr>
      <w:spacing w:before="120"/>
    </w:pPr>
    <w:rPr>
      <w:rFonts w:ascii="Arial" w:hAnsi="Arial"/>
      <w:sz w:val="20"/>
    </w:rPr>
  </w:style>
  <w:style w:type="character" w:customStyle="1" w:styleId="Heading1Char">
    <w:name w:val="Heading 1 Char"/>
    <w:basedOn w:val="DefaultParagraphFont"/>
    <w:link w:val="Heading1"/>
    <w:uiPriority w:val="9"/>
    <w:rsid w:val="00D147ED"/>
    <w:rPr>
      <w:rFonts w:ascii="Calibri" w:hAnsi="Calibri"/>
      <w:bCs/>
      <w:color w:val="000000"/>
      <w:sz w:val="56"/>
      <w:szCs w:val="28"/>
      <w:lang w:eastAsia="en-US"/>
    </w:rPr>
  </w:style>
  <w:style w:type="paragraph" w:styleId="Header">
    <w:name w:val="header"/>
    <w:basedOn w:val="Normal"/>
    <w:link w:val="HeaderChar"/>
    <w:uiPriority w:val="99"/>
    <w:rsid w:val="00D147ED"/>
    <w:pPr>
      <w:tabs>
        <w:tab w:val="center" w:pos="4513"/>
        <w:tab w:val="right" w:pos="9026"/>
      </w:tabs>
    </w:pPr>
  </w:style>
  <w:style w:type="character" w:customStyle="1" w:styleId="HeaderChar">
    <w:name w:val="Header Char"/>
    <w:basedOn w:val="DefaultParagraphFont"/>
    <w:link w:val="Header"/>
    <w:uiPriority w:val="99"/>
    <w:rsid w:val="00D147ED"/>
    <w:rPr>
      <w:sz w:val="24"/>
      <w:szCs w:val="24"/>
    </w:rPr>
  </w:style>
  <w:style w:type="paragraph" w:styleId="Footer">
    <w:name w:val="footer"/>
    <w:basedOn w:val="Normal"/>
    <w:link w:val="FooterChar"/>
    <w:uiPriority w:val="99"/>
    <w:rsid w:val="00D147ED"/>
    <w:pPr>
      <w:tabs>
        <w:tab w:val="center" w:pos="4513"/>
        <w:tab w:val="right" w:pos="9026"/>
      </w:tabs>
    </w:pPr>
  </w:style>
  <w:style w:type="character" w:customStyle="1" w:styleId="FooterChar">
    <w:name w:val="Footer Char"/>
    <w:basedOn w:val="DefaultParagraphFont"/>
    <w:link w:val="Footer"/>
    <w:uiPriority w:val="99"/>
    <w:rsid w:val="00D147ED"/>
    <w:rPr>
      <w:sz w:val="24"/>
      <w:szCs w:val="24"/>
    </w:rPr>
  </w:style>
  <w:style w:type="paragraph" w:styleId="BodyText">
    <w:name w:val="Body Text"/>
    <w:basedOn w:val="Normal"/>
    <w:link w:val="BodyTextChar"/>
    <w:rsid w:val="00D147ED"/>
    <w:pPr>
      <w:spacing w:after="120"/>
    </w:pPr>
    <w:rPr>
      <w:lang w:eastAsia="en-US"/>
    </w:rPr>
  </w:style>
  <w:style w:type="character" w:customStyle="1" w:styleId="BodyTextChar">
    <w:name w:val="Body Text Char"/>
    <w:basedOn w:val="DefaultParagraphFont"/>
    <w:link w:val="BodyText"/>
    <w:rsid w:val="00D147ED"/>
    <w:rPr>
      <w:sz w:val="24"/>
      <w:szCs w:val="24"/>
      <w:lang w:eastAsia="en-US"/>
    </w:rPr>
  </w:style>
  <w:style w:type="character" w:customStyle="1" w:styleId="Heading3Char">
    <w:name w:val="Heading 3 Char"/>
    <w:basedOn w:val="DefaultParagraphFont"/>
    <w:link w:val="Heading3"/>
    <w:rsid w:val="00D147ED"/>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rsid w:val="00D147ED"/>
    <w:rPr>
      <w:rFonts w:ascii="Cambria" w:eastAsia="Times New Roman" w:hAnsi="Cambria" w:cs="Times New Roman"/>
      <w:b/>
      <w:bCs/>
      <w:i/>
      <w:iCs/>
      <w:color w:val="4F81BD"/>
      <w:sz w:val="24"/>
      <w:szCs w:val="24"/>
    </w:rPr>
  </w:style>
  <w:style w:type="paragraph" w:styleId="ListParagraph">
    <w:name w:val="List Paragraph"/>
    <w:basedOn w:val="Normal"/>
    <w:uiPriority w:val="34"/>
    <w:qFormat/>
    <w:rsid w:val="00D147ED"/>
    <w:pPr>
      <w:spacing w:after="200" w:line="276" w:lineRule="auto"/>
      <w:ind w:left="720"/>
      <w:contextualSpacing/>
    </w:pPr>
    <w:rPr>
      <w:rFonts w:ascii="Calibri" w:eastAsia="Calibri" w:hAnsi="Calibri"/>
      <w:sz w:val="22"/>
      <w:szCs w:val="22"/>
      <w:lang w:eastAsia="en-US"/>
    </w:rPr>
  </w:style>
  <w:style w:type="character" w:styleId="HTMLCite">
    <w:name w:val="HTML Cite"/>
    <w:basedOn w:val="DefaultParagraphFont"/>
    <w:uiPriority w:val="99"/>
    <w:unhideWhenUsed/>
    <w:rsid w:val="00D147ED"/>
    <w:rPr>
      <w:i/>
      <w:iCs/>
    </w:rPr>
  </w:style>
  <w:style w:type="paragraph" w:styleId="BalloonText">
    <w:name w:val="Balloon Text"/>
    <w:basedOn w:val="Normal"/>
    <w:link w:val="BalloonTextChar"/>
    <w:rsid w:val="00D147ED"/>
    <w:rPr>
      <w:rFonts w:ascii="Tahoma" w:hAnsi="Tahoma" w:cs="Tahoma"/>
      <w:sz w:val="16"/>
      <w:szCs w:val="16"/>
    </w:rPr>
  </w:style>
  <w:style w:type="character" w:customStyle="1" w:styleId="BalloonTextChar">
    <w:name w:val="Balloon Text Char"/>
    <w:basedOn w:val="DefaultParagraphFont"/>
    <w:link w:val="BalloonText"/>
    <w:rsid w:val="00D147ED"/>
    <w:rPr>
      <w:rFonts w:ascii="Tahoma" w:hAnsi="Tahoma" w:cs="Tahoma"/>
      <w:sz w:val="16"/>
      <w:szCs w:val="16"/>
    </w:rPr>
  </w:style>
  <w:style w:type="paragraph" w:styleId="Caption">
    <w:name w:val="caption"/>
    <w:basedOn w:val="Normal"/>
    <w:unhideWhenUsed/>
    <w:qFormat/>
    <w:rsid w:val="00D147ED"/>
    <w:pPr>
      <w:spacing w:after="200"/>
    </w:pPr>
    <w:rPr>
      <w:rFonts w:ascii="Calibri" w:eastAsia="Calibri" w:hAnsi="Calibri"/>
      <w:b/>
      <w:bCs/>
      <w:color w:val="4F81BD"/>
      <w:sz w:val="18"/>
      <w:szCs w:val="18"/>
    </w:rPr>
  </w:style>
  <w:style w:type="character" w:styleId="FollowedHyperlink">
    <w:name w:val="FollowedHyperlink"/>
    <w:basedOn w:val="DefaultParagraphFont"/>
    <w:rsid w:val="00D147ED"/>
    <w:rPr>
      <w:color w:val="800080"/>
      <w:u w:val="single"/>
    </w:rPr>
  </w:style>
  <w:style w:type="character" w:styleId="CommentReference">
    <w:name w:val="annotation reference"/>
    <w:basedOn w:val="DefaultParagraphFont"/>
    <w:rsid w:val="00D147ED"/>
    <w:rPr>
      <w:sz w:val="16"/>
      <w:szCs w:val="16"/>
    </w:rPr>
  </w:style>
  <w:style w:type="paragraph" w:styleId="CommentText">
    <w:name w:val="annotation text"/>
    <w:basedOn w:val="Normal"/>
    <w:link w:val="CommentTextChar"/>
    <w:rsid w:val="00D147ED"/>
    <w:rPr>
      <w:sz w:val="20"/>
      <w:szCs w:val="20"/>
    </w:rPr>
  </w:style>
  <w:style w:type="character" w:customStyle="1" w:styleId="CommentTextChar">
    <w:name w:val="Comment Text Char"/>
    <w:basedOn w:val="DefaultParagraphFont"/>
    <w:link w:val="CommentText"/>
    <w:rsid w:val="00D147ED"/>
  </w:style>
  <w:style w:type="paragraph" w:styleId="CommentSubject">
    <w:name w:val="annotation subject"/>
    <w:basedOn w:val="CommentText"/>
    <w:next w:val="CommentText"/>
    <w:link w:val="CommentSubjectChar"/>
    <w:rsid w:val="00D147ED"/>
    <w:rPr>
      <w:b/>
      <w:bCs/>
    </w:rPr>
  </w:style>
  <w:style w:type="character" w:customStyle="1" w:styleId="CommentSubjectChar">
    <w:name w:val="Comment Subject Char"/>
    <w:basedOn w:val="CommentTextChar"/>
    <w:link w:val="CommentSubject"/>
    <w:rsid w:val="00D147ED"/>
    <w:rPr>
      <w:b/>
      <w:bCs/>
    </w:rPr>
  </w:style>
  <w:style w:type="paragraph" w:styleId="NoSpacing">
    <w:name w:val="No Spacing"/>
    <w:uiPriority w:val="1"/>
    <w:qFormat/>
    <w:rsid w:val="00D147ED"/>
    <w:rPr>
      <w:rFonts w:ascii="Calibri" w:eastAsia="Calibri" w:hAnsi="Calibri"/>
      <w:sz w:val="22"/>
      <w:szCs w:val="22"/>
      <w:lang w:eastAsia="en-US"/>
    </w:rPr>
  </w:style>
  <w:style w:type="paragraph" w:styleId="NormalWeb">
    <w:name w:val="Normal (Web)"/>
    <w:basedOn w:val="Normal"/>
    <w:uiPriority w:val="99"/>
    <w:unhideWhenUsed/>
    <w:rsid w:val="00D147ED"/>
    <w:rPr>
      <w:rFonts w:ascii="Arial" w:hAnsi="Arial" w:cs="Arial"/>
    </w:rPr>
  </w:style>
  <w:style w:type="table" w:styleId="TableGrid">
    <w:name w:val="Table Grid"/>
    <w:basedOn w:val="TableNormal"/>
    <w:rsid w:val="00D14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147ED"/>
    <w:rPr>
      <w:sz w:val="24"/>
      <w:szCs w:val="24"/>
    </w:rPr>
  </w:style>
  <w:style w:type="paragraph" w:customStyle="1" w:styleId="Default">
    <w:name w:val="Default"/>
    <w:rsid w:val="00D147ED"/>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D14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2"/>
      <w:szCs w:val="12"/>
    </w:rPr>
  </w:style>
  <w:style w:type="character" w:customStyle="1" w:styleId="HTMLPreformattedChar">
    <w:name w:val="HTML Preformatted Char"/>
    <w:basedOn w:val="DefaultParagraphFont"/>
    <w:link w:val="HTMLPreformatted"/>
    <w:uiPriority w:val="99"/>
    <w:rsid w:val="00D147ED"/>
    <w:rPr>
      <w:rFonts w:ascii="Courier New" w:hAnsi="Courier New" w:cs="Courier New"/>
      <w:sz w:val="12"/>
      <w:szCs w:val="12"/>
    </w:rPr>
  </w:style>
  <w:style w:type="character" w:customStyle="1" w:styleId="ListBulletChar">
    <w:name w:val="List Bullet Char"/>
    <w:basedOn w:val="DefaultParagraphFont"/>
    <w:link w:val="ListBullet"/>
    <w:rsid w:val="00D147ED"/>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3174088">
      <w:bodyDiv w:val="1"/>
      <w:marLeft w:val="0"/>
      <w:marRight w:val="0"/>
      <w:marTop w:val="0"/>
      <w:marBottom w:val="0"/>
      <w:divBdr>
        <w:top w:val="none" w:sz="0" w:space="0" w:color="auto"/>
        <w:left w:val="none" w:sz="0" w:space="0" w:color="auto"/>
        <w:bottom w:val="none" w:sz="0" w:space="0" w:color="auto"/>
        <w:right w:val="none" w:sz="0" w:space="0" w:color="auto"/>
      </w:divBdr>
    </w:div>
    <w:div w:id="30694327">
      <w:bodyDiv w:val="1"/>
      <w:marLeft w:val="0"/>
      <w:marRight w:val="0"/>
      <w:marTop w:val="0"/>
      <w:marBottom w:val="0"/>
      <w:divBdr>
        <w:top w:val="none" w:sz="0" w:space="0" w:color="auto"/>
        <w:left w:val="none" w:sz="0" w:space="0" w:color="auto"/>
        <w:bottom w:val="none" w:sz="0" w:space="0" w:color="auto"/>
        <w:right w:val="none" w:sz="0" w:space="0" w:color="auto"/>
      </w:divBdr>
    </w:div>
    <w:div w:id="112746772">
      <w:bodyDiv w:val="1"/>
      <w:marLeft w:val="0"/>
      <w:marRight w:val="0"/>
      <w:marTop w:val="0"/>
      <w:marBottom w:val="0"/>
      <w:divBdr>
        <w:top w:val="none" w:sz="0" w:space="0" w:color="auto"/>
        <w:left w:val="none" w:sz="0" w:space="0" w:color="auto"/>
        <w:bottom w:val="none" w:sz="0" w:space="0" w:color="auto"/>
        <w:right w:val="none" w:sz="0" w:space="0" w:color="auto"/>
      </w:divBdr>
      <w:divsChild>
        <w:div w:id="1538664060">
          <w:marLeft w:val="0"/>
          <w:marRight w:val="0"/>
          <w:marTop w:val="0"/>
          <w:marBottom w:val="0"/>
          <w:divBdr>
            <w:top w:val="none" w:sz="0" w:space="0" w:color="auto"/>
            <w:left w:val="none" w:sz="0" w:space="0" w:color="auto"/>
            <w:bottom w:val="none" w:sz="0" w:space="0" w:color="auto"/>
            <w:right w:val="none" w:sz="0" w:space="0" w:color="auto"/>
          </w:divBdr>
          <w:divsChild>
            <w:div w:id="1460608278">
              <w:marLeft w:val="0"/>
              <w:marRight w:val="0"/>
              <w:marTop w:val="0"/>
              <w:marBottom w:val="0"/>
              <w:divBdr>
                <w:top w:val="none" w:sz="0" w:space="0" w:color="auto"/>
                <w:left w:val="none" w:sz="0" w:space="0" w:color="auto"/>
                <w:bottom w:val="none" w:sz="0" w:space="0" w:color="auto"/>
                <w:right w:val="none" w:sz="0" w:space="0" w:color="auto"/>
              </w:divBdr>
              <w:divsChild>
                <w:div w:id="2071535267">
                  <w:marLeft w:val="0"/>
                  <w:marRight w:val="0"/>
                  <w:marTop w:val="0"/>
                  <w:marBottom w:val="0"/>
                  <w:divBdr>
                    <w:top w:val="none" w:sz="0" w:space="0" w:color="auto"/>
                    <w:left w:val="none" w:sz="0" w:space="0" w:color="auto"/>
                    <w:bottom w:val="none" w:sz="0" w:space="0" w:color="auto"/>
                    <w:right w:val="none" w:sz="0" w:space="0" w:color="auto"/>
                  </w:divBdr>
                  <w:divsChild>
                    <w:div w:id="495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667">
      <w:bodyDiv w:val="1"/>
      <w:marLeft w:val="0"/>
      <w:marRight w:val="0"/>
      <w:marTop w:val="0"/>
      <w:marBottom w:val="0"/>
      <w:divBdr>
        <w:top w:val="none" w:sz="0" w:space="0" w:color="auto"/>
        <w:left w:val="none" w:sz="0" w:space="0" w:color="auto"/>
        <w:bottom w:val="none" w:sz="0" w:space="0" w:color="auto"/>
        <w:right w:val="none" w:sz="0" w:space="0" w:color="auto"/>
      </w:divBdr>
    </w:div>
    <w:div w:id="211968767">
      <w:bodyDiv w:val="1"/>
      <w:marLeft w:val="0"/>
      <w:marRight w:val="0"/>
      <w:marTop w:val="0"/>
      <w:marBottom w:val="0"/>
      <w:divBdr>
        <w:top w:val="none" w:sz="0" w:space="0" w:color="auto"/>
        <w:left w:val="none" w:sz="0" w:space="0" w:color="auto"/>
        <w:bottom w:val="none" w:sz="0" w:space="0" w:color="auto"/>
        <w:right w:val="none" w:sz="0" w:space="0" w:color="auto"/>
      </w:divBdr>
    </w:div>
    <w:div w:id="289898476">
      <w:bodyDiv w:val="1"/>
      <w:marLeft w:val="0"/>
      <w:marRight w:val="0"/>
      <w:marTop w:val="0"/>
      <w:marBottom w:val="0"/>
      <w:divBdr>
        <w:top w:val="none" w:sz="0" w:space="0" w:color="auto"/>
        <w:left w:val="none" w:sz="0" w:space="0" w:color="auto"/>
        <w:bottom w:val="none" w:sz="0" w:space="0" w:color="auto"/>
        <w:right w:val="none" w:sz="0" w:space="0" w:color="auto"/>
      </w:divBdr>
    </w:div>
    <w:div w:id="314116435">
      <w:bodyDiv w:val="1"/>
      <w:marLeft w:val="0"/>
      <w:marRight w:val="0"/>
      <w:marTop w:val="0"/>
      <w:marBottom w:val="0"/>
      <w:divBdr>
        <w:top w:val="none" w:sz="0" w:space="0" w:color="auto"/>
        <w:left w:val="none" w:sz="0" w:space="0" w:color="auto"/>
        <w:bottom w:val="none" w:sz="0" w:space="0" w:color="auto"/>
        <w:right w:val="none" w:sz="0" w:space="0" w:color="auto"/>
      </w:divBdr>
    </w:div>
    <w:div w:id="340161512">
      <w:bodyDiv w:val="1"/>
      <w:marLeft w:val="0"/>
      <w:marRight w:val="0"/>
      <w:marTop w:val="0"/>
      <w:marBottom w:val="0"/>
      <w:divBdr>
        <w:top w:val="none" w:sz="0" w:space="0" w:color="auto"/>
        <w:left w:val="none" w:sz="0" w:space="0" w:color="auto"/>
        <w:bottom w:val="none" w:sz="0" w:space="0" w:color="auto"/>
        <w:right w:val="none" w:sz="0" w:space="0" w:color="auto"/>
      </w:divBdr>
    </w:div>
    <w:div w:id="450174038">
      <w:bodyDiv w:val="1"/>
      <w:marLeft w:val="0"/>
      <w:marRight w:val="0"/>
      <w:marTop w:val="0"/>
      <w:marBottom w:val="0"/>
      <w:divBdr>
        <w:top w:val="none" w:sz="0" w:space="0" w:color="auto"/>
        <w:left w:val="none" w:sz="0" w:space="0" w:color="auto"/>
        <w:bottom w:val="none" w:sz="0" w:space="0" w:color="auto"/>
        <w:right w:val="none" w:sz="0" w:space="0" w:color="auto"/>
      </w:divBdr>
    </w:div>
    <w:div w:id="479999669">
      <w:bodyDiv w:val="1"/>
      <w:marLeft w:val="0"/>
      <w:marRight w:val="0"/>
      <w:marTop w:val="0"/>
      <w:marBottom w:val="0"/>
      <w:divBdr>
        <w:top w:val="none" w:sz="0" w:space="0" w:color="auto"/>
        <w:left w:val="none" w:sz="0" w:space="0" w:color="auto"/>
        <w:bottom w:val="none" w:sz="0" w:space="0" w:color="auto"/>
        <w:right w:val="none" w:sz="0" w:space="0" w:color="auto"/>
      </w:divBdr>
    </w:div>
    <w:div w:id="575211082">
      <w:bodyDiv w:val="1"/>
      <w:marLeft w:val="0"/>
      <w:marRight w:val="0"/>
      <w:marTop w:val="0"/>
      <w:marBottom w:val="0"/>
      <w:divBdr>
        <w:top w:val="none" w:sz="0" w:space="0" w:color="auto"/>
        <w:left w:val="none" w:sz="0" w:space="0" w:color="auto"/>
        <w:bottom w:val="none" w:sz="0" w:space="0" w:color="auto"/>
        <w:right w:val="none" w:sz="0" w:space="0" w:color="auto"/>
      </w:divBdr>
    </w:div>
    <w:div w:id="644704310">
      <w:bodyDiv w:val="1"/>
      <w:marLeft w:val="0"/>
      <w:marRight w:val="0"/>
      <w:marTop w:val="0"/>
      <w:marBottom w:val="0"/>
      <w:divBdr>
        <w:top w:val="none" w:sz="0" w:space="0" w:color="auto"/>
        <w:left w:val="none" w:sz="0" w:space="0" w:color="auto"/>
        <w:bottom w:val="none" w:sz="0" w:space="0" w:color="auto"/>
        <w:right w:val="none" w:sz="0" w:space="0" w:color="auto"/>
      </w:divBdr>
    </w:div>
    <w:div w:id="652106188">
      <w:bodyDiv w:val="1"/>
      <w:marLeft w:val="0"/>
      <w:marRight w:val="0"/>
      <w:marTop w:val="0"/>
      <w:marBottom w:val="0"/>
      <w:divBdr>
        <w:top w:val="none" w:sz="0" w:space="0" w:color="auto"/>
        <w:left w:val="none" w:sz="0" w:space="0" w:color="auto"/>
        <w:bottom w:val="none" w:sz="0" w:space="0" w:color="auto"/>
        <w:right w:val="none" w:sz="0" w:space="0" w:color="auto"/>
      </w:divBdr>
    </w:div>
    <w:div w:id="691103185">
      <w:bodyDiv w:val="1"/>
      <w:marLeft w:val="0"/>
      <w:marRight w:val="0"/>
      <w:marTop w:val="0"/>
      <w:marBottom w:val="0"/>
      <w:divBdr>
        <w:top w:val="none" w:sz="0" w:space="0" w:color="auto"/>
        <w:left w:val="none" w:sz="0" w:space="0" w:color="auto"/>
        <w:bottom w:val="none" w:sz="0" w:space="0" w:color="auto"/>
        <w:right w:val="none" w:sz="0" w:space="0" w:color="auto"/>
      </w:divBdr>
    </w:div>
    <w:div w:id="915166037">
      <w:bodyDiv w:val="1"/>
      <w:marLeft w:val="0"/>
      <w:marRight w:val="0"/>
      <w:marTop w:val="0"/>
      <w:marBottom w:val="0"/>
      <w:divBdr>
        <w:top w:val="none" w:sz="0" w:space="0" w:color="auto"/>
        <w:left w:val="none" w:sz="0" w:space="0" w:color="auto"/>
        <w:bottom w:val="none" w:sz="0" w:space="0" w:color="auto"/>
        <w:right w:val="none" w:sz="0" w:space="0" w:color="auto"/>
      </w:divBdr>
    </w:div>
    <w:div w:id="936210052">
      <w:bodyDiv w:val="1"/>
      <w:marLeft w:val="0"/>
      <w:marRight w:val="0"/>
      <w:marTop w:val="0"/>
      <w:marBottom w:val="0"/>
      <w:divBdr>
        <w:top w:val="none" w:sz="0" w:space="0" w:color="auto"/>
        <w:left w:val="none" w:sz="0" w:space="0" w:color="auto"/>
        <w:bottom w:val="none" w:sz="0" w:space="0" w:color="auto"/>
        <w:right w:val="none" w:sz="0" w:space="0" w:color="auto"/>
      </w:divBdr>
      <w:divsChild>
        <w:div w:id="431979660">
          <w:marLeft w:val="0"/>
          <w:marRight w:val="0"/>
          <w:marTop w:val="0"/>
          <w:marBottom w:val="0"/>
          <w:divBdr>
            <w:top w:val="none" w:sz="0" w:space="0" w:color="auto"/>
            <w:left w:val="none" w:sz="0" w:space="0" w:color="auto"/>
            <w:bottom w:val="none" w:sz="0" w:space="0" w:color="auto"/>
            <w:right w:val="none" w:sz="0" w:space="0" w:color="auto"/>
          </w:divBdr>
          <w:divsChild>
            <w:div w:id="1485855577">
              <w:marLeft w:val="0"/>
              <w:marRight w:val="0"/>
              <w:marTop w:val="0"/>
              <w:marBottom w:val="0"/>
              <w:divBdr>
                <w:top w:val="none" w:sz="0" w:space="0" w:color="auto"/>
                <w:left w:val="none" w:sz="0" w:space="0" w:color="auto"/>
                <w:bottom w:val="none" w:sz="0" w:space="0" w:color="auto"/>
                <w:right w:val="none" w:sz="0" w:space="0" w:color="auto"/>
              </w:divBdr>
              <w:divsChild>
                <w:div w:id="554050558">
                  <w:marLeft w:val="0"/>
                  <w:marRight w:val="0"/>
                  <w:marTop w:val="0"/>
                  <w:marBottom w:val="0"/>
                  <w:divBdr>
                    <w:top w:val="none" w:sz="0" w:space="0" w:color="auto"/>
                    <w:left w:val="none" w:sz="0" w:space="0" w:color="auto"/>
                    <w:bottom w:val="none" w:sz="0" w:space="0" w:color="auto"/>
                    <w:right w:val="none" w:sz="0" w:space="0" w:color="auto"/>
                  </w:divBdr>
                  <w:divsChild>
                    <w:div w:id="8789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4939">
      <w:bodyDiv w:val="1"/>
      <w:marLeft w:val="0"/>
      <w:marRight w:val="0"/>
      <w:marTop w:val="0"/>
      <w:marBottom w:val="0"/>
      <w:divBdr>
        <w:top w:val="none" w:sz="0" w:space="0" w:color="auto"/>
        <w:left w:val="none" w:sz="0" w:space="0" w:color="auto"/>
        <w:bottom w:val="none" w:sz="0" w:space="0" w:color="auto"/>
        <w:right w:val="none" w:sz="0" w:space="0" w:color="auto"/>
      </w:divBdr>
    </w:div>
    <w:div w:id="1085882523">
      <w:bodyDiv w:val="1"/>
      <w:marLeft w:val="0"/>
      <w:marRight w:val="0"/>
      <w:marTop w:val="0"/>
      <w:marBottom w:val="0"/>
      <w:divBdr>
        <w:top w:val="none" w:sz="0" w:space="0" w:color="auto"/>
        <w:left w:val="none" w:sz="0" w:space="0" w:color="auto"/>
        <w:bottom w:val="none" w:sz="0" w:space="0" w:color="auto"/>
        <w:right w:val="none" w:sz="0" w:space="0" w:color="auto"/>
      </w:divBdr>
    </w:div>
    <w:div w:id="1159616374">
      <w:bodyDiv w:val="1"/>
      <w:marLeft w:val="0"/>
      <w:marRight w:val="0"/>
      <w:marTop w:val="0"/>
      <w:marBottom w:val="0"/>
      <w:divBdr>
        <w:top w:val="none" w:sz="0" w:space="0" w:color="auto"/>
        <w:left w:val="none" w:sz="0" w:space="0" w:color="auto"/>
        <w:bottom w:val="none" w:sz="0" w:space="0" w:color="auto"/>
        <w:right w:val="none" w:sz="0" w:space="0" w:color="auto"/>
      </w:divBdr>
    </w:div>
    <w:div w:id="1161579664">
      <w:bodyDiv w:val="1"/>
      <w:marLeft w:val="0"/>
      <w:marRight w:val="0"/>
      <w:marTop w:val="0"/>
      <w:marBottom w:val="0"/>
      <w:divBdr>
        <w:top w:val="none" w:sz="0" w:space="0" w:color="auto"/>
        <w:left w:val="none" w:sz="0" w:space="0" w:color="auto"/>
        <w:bottom w:val="none" w:sz="0" w:space="0" w:color="auto"/>
        <w:right w:val="none" w:sz="0" w:space="0" w:color="auto"/>
      </w:divBdr>
      <w:divsChild>
        <w:div w:id="2004354037">
          <w:marLeft w:val="0"/>
          <w:marRight w:val="0"/>
          <w:marTop w:val="0"/>
          <w:marBottom w:val="0"/>
          <w:divBdr>
            <w:top w:val="none" w:sz="0" w:space="0" w:color="auto"/>
            <w:left w:val="none" w:sz="0" w:space="0" w:color="auto"/>
            <w:bottom w:val="none" w:sz="0" w:space="0" w:color="auto"/>
            <w:right w:val="none" w:sz="0" w:space="0" w:color="auto"/>
          </w:divBdr>
          <w:divsChild>
            <w:div w:id="343748624">
              <w:marLeft w:val="0"/>
              <w:marRight w:val="0"/>
              <w:marTop w:val="0"/>
              <w:marBottom w:val="0"/>
              <w:divBdr>
                <w:top w:val="none" w:sz="0" w:space="0" w:color="auto"/>
                <w:left w:val="none" w:sz="0" w:space="0" w:color="auto"/>
                <w:bottom w:val="none" w:sz="0" w:space="0" w:color="auto"/>
                <w:right w:val="none" w:sz="0" w:space="0" w:color="auto"/>
              </w:divBdr>
              <w:divsChild>
                <w:div w:id="1106271616">
                  <w:marLeft w:val="0"/>
                  <w:marRight w:val="0"/>
                  <w:marTop w:val="0"/>
                  <w:marBottom w:val="0"/>
                  <w:divBdr>
                    <w:top w:val="none" w:sz="0" w:space="0" w:color="auto"/>
                    <w:left w:val="single" w:sz="6" w:space="0" w:color="999999"/>
                    <w:bottom w:val="none" w:sz="0" w:space="0" w:color="auto"/>
                    <w:right w:val="single" w:sz="6" w:space="0" w:color="999999"/>
                  </w:divBdr>
                  <w:divsChild>
                    <w:div w:id="485587585">
                      <w:marLeft w:val="0"/>
                      <w:marRight w:val="0"/>
                      <w:marTop w:val="0"/>
                      <w:marBottom w:val="0"/>
                      <w:divBdr>
                        <w:top w:val="none" w:sz="0" w:space="0" w:color="auto"/>
                        <w:left w:val="none" w:sz="0" w:space="0" w:color="auto"/>
                        <w:bottom w:val="none" w:sz="0" w:space="0" w:color="auto"/>
                        <w:right w:val="none" w:sz="0" w:space="0" w:color="auto"/>
                      </w:divBdr>
                      <w:divsChild>
                        <w:div w:id="233974084">
                          <w:marLeft w:val="0"/>
                          <w:marRight w:val="0"/>
                          <w:marTop w:val="0"/>
                          <w:marBottom w:val="0"/>
                          <w:divBdr>
                            <w:top w:val="none" w:sz="0" w:space="0" w:color="auto"/>
                            <w:left w:val="none" w:sz="0" w:space="0" w:color="auto"/>
                            <w:bottom w:val="none" w:sz="0" w:space="0" w:color="auto"/>
                            <w:right w:val="none" w:sz="0" w:space="0" w:color="auto"/>
                          </w:divBdr>
                          <w:divsChild>
                            <w:div w:id="1135639631">
                              <w:marLeft w:val="0"/>
                              <w:marRight w:val="28"/>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00646">
      <w:bodyDiv w:val="1"/>
      <w:marLeft w:val="0"/>
      <w:marRight w:val="0"/>
      <w:marTop w:val="0"/>
      <w:marBottom w:val="0"/>
      <w:divBdr>
        <w:top w:val="none" w:sz="0" w:space="0" w:color="auto"/>
        <w:left w:val="none" w:sz="0" w:space="0" w:color="auto"/>
        <w:bottom w:val="none" w:sz="0" w:space="0" w:color="auto"/>
        <w:right w:val="none" w:sz="0" w:space="0" w:color="auto"/>
      </w:divBdr>
      <w:divsChild>
        <w:div w:id="8138864">
          <w:marLeft w:val="0"/>
          <w:marRight w:val="0"/>
          <w:marTop w:val="0"/>
          <w:marBottom w:val="0"/>
          <w:divBdr>
            <w:top w:val="none" w:sz="0" w:space="0" w:color="auto"/>
            <w:left w:val="none" w:sz="0" w:space="0" w:color="auto"/>
            <w:bottom w:val="none" w:sz="0" w:space="0" w:color="auto"/>
            <w:right w:val="none" w:sz="0" w:space="0" w:color="auto"/>
          </w:divBdr>
          <w:divsChild>
            <w:div w:id="1569923127">
              <w:marLeft w:val="0"/>
              <w:marRight w:val="0"/>
              <w:marTop w:val="0"/>
              <w:marBottom w:val="0"/>
              <w:divBdr>
                <w:top w:val="none" w:sz="0" w:space="0" w:color="auto"/>
                <w:left w:val="none" w:sz="0" w:space="0" w:color="auto"/>
                <w:bottom w:val="none" w:sz="0" w:space="0" w:color="auto"/>
                <w:right w:val="none" w:sz="0" w:space="0" w:color="auto"/>
              </w:divBdr>
              <w:divsChild>
                <w:div w:id="100994004">
                  <w:marLeft w:val="0"/>
                  <w:marRight w:val="0"/>
                  <w:marTop w:val="0"/>
                  <w:marBottom w:val="0"/>
                  <w:divBdr>
                    <w:top w:val="none" w:sz="0" w:space="0" w:color="auto"/>
                    <w:left w:val="none" w:sz="0" w:space="0" w:color="auto"/>
                    <w:bottom w:val="none" w:sz="0" w:space="0" w:color="auto"/>
                    <w:right w:val="none" w:sz="0" w:space="0" w:color="auto"/>
                  </w:divBdr>
                  <w:divsChild>
                    <w:div w:id="15593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3820">
      <w:bodyDiv w:val="1"/>
      <w:marLeft w:val="0"/>
      <w:marRight w:val="0"/>
      <w:marTop w:val="0"/>
      <w:marBottom w:val="0"/>
      <w:divBdr>
        <w:top w:val="none" w:sz="0" w:space="0" w:color="auto"/>
        <w:left w:val="none" w:sz="0" w:space="0" w:color="auto"/>
        <w:bottom w:val="none" w:sz="0" w:space="0" w:color="auto"/>
        <w:right w:val="none" w:sz="0" w:space="0" w:color="auto"/>
      </w:divBdr>
    </w:div>
    <w:div w:id="1350915344">
      <w:bodyDiv w:val="1"/>
      <w:marLeft w:val="0"/>
      <w:marRight w:val="0"/>
      <w:marTop w:val="0"/>
      <w:marBottom w:val="0"/>
      <w:divBdr>
        <w:top w:val="none" w:sz="0" w:space="0" w:color="auto"/>
        <w:left w:val="none" w:sz="0" w:space="0" w:color="auto"/>
        <w:bottom w:val="none" w:sz="0" w:space="0" w:color="auto"/>
        <w:right w:val="none" w:sz="0" w:space="0" w:color="auto"/>
      </w:divBdr>
    </w:div>
    <w:div w:id="1410693194">
      <w:bodyDiv w:val="1"/>
      <w:marLeft w:val="0"/>
      <w:marRight w:val="0"/>
      <w:marTop w:val="0"/>
      <w:marBottom w:val="0"/>
      <w:divBdr>
        <w:top w:val="none" w:sz="0" w:space="0" w:color="auto"/>
        <w:left w:val="none" w:sz="0" w:space="0" w:color="auto"/>
        <w:bottom w:val="none" w:sz="0" w:space="0" w:color="auto"/>
        <w:right w:val="none" w:sz="0" w:space="0" w:color="auto"/>
      </w:divBdr>
    </w:div>
    <w:div w:id="1557086188">
      <w:bodyDiv w:val="1"/>
      <w:marLeft w:val="0"/>
      <w:marRight w:val="0"/>
      <w:marTop w:val="0"/>
      <w:marBottom w:val="0"/>
      <w:divBdr>
        <w:top w:val="none" w:sz="0" w:space="0" w:color="auto"/>
        <w:left w:val="none" w:sz="0" w:space="0" w:color="auto"/>
        <w:bottom w:val="none" w:sz="0" w:space="0" w:color="auto"/>
        <w:right w:val="none" w:sz="0" w:space="0" w:color="auto"/>
      </w:divBdr>
    </w:div>
    <w:div w:id="1560751202">
      <w:bodyDiv w:val="1"/>
      <w:marLeft w:val="0"/>
      <w:marRight w:val="0"/>
      <w:marTop w:val="0"/>
      <w:marBottom w:val="0"/>
      <w:divBdr>
        <w:top w:val="none" w:sz="0" w:space="0" w:color="auto"/>
        <w:left w:val="none" w:sz="0" w:space="0" w:color="auto"/>
        <w:bottom w:val="none" w:sz="0" w:space="0" w:color="auto"/>
        <w:right w:val="none" w:sz="0" w:space="0" w:color="auto"/>
      </w:divBdr>
    </w:div>
    <w:div w:id="1658995196">
      <w:bodyDiv w:val="1"/>
      <w:marLeft w:val="0"/>
      <w:marRight w:val="0"/>
      <w:marTop w:val="0"/>
      <w:marBottom w:val="0"/>
      <w:divBdr>
        <w:top w:val="none" w:sz="0" w:space="0" w:color="auto"/>
        <w:left w:val="none" w:sz="0" w:space="0" w:color="auto"/>
        <w:bottom w:val="none" w:sz="0" w:space="0" w:color="auto"/>
        <w:right w:val="none" w:sz="0" w:space="0" w:color="auto"/>
      </w:divBdr>
    </w:div>
    <w:div w:id="1704557123">
      <w:bodyDiv w:val="1"/>
      <w:marLeft w:val="0"/>
      <w:marRight w:val="0"/>
      <w:marTop w:val="0"/>
      <w:marBottom w:val="0"/>
      <w:divBdr>
        <w:top w:val="none" w:sz="0" w:space="0" w:color="auto"/>
        <w:left w:val="none" w:sz="0" w:space="0" w:color="auto"/>
        <w:bottom w:val="none" w:sz="0" w:space="0" w:color="auto"/>
        <w:right w:val="none" w:sz="0" w:space="0" w:color="auto"/>
      </w:divBdr>
    </w:div>
    <w:div w:id="1714621754">
      <w:bodyDiv w:val="1"/>
      <w:marLeft w:val="0"/>
      <w:marRight w:val="0"/>
      <w:marTop w:val="0"/>
      <w:marBottom w:val="0"/>
      <w:divBdr>
        <w:top w:val="none" w:sz="0" w:space="0" w:color="auto"/>
        <w:left w:val="none" w:sz="0" w:space="0" w:color="auto"/>
        <w:bottom w:val="none" w:sz="0" w:space="0" w:color="auto"/>
        <w:right w:val="none" w:sz="0" w:space="0" w:color="auto"/>
      </w:divBdr>
    </w:div>
    <w:div w:id="1803645658">
      <w:bodyDiv w:val="1"/>
      <w:marLeft w:val="0"/>
      <w:marRight w:val="0"/>
      <w:marTop w:val="0"/>
      <w:marBottom w:val="0"/>
      <w:divBdr>
        <w:top w:val="none" w:sz="0" w:space="0" w:color="auto"/>
        <w:left w:val="none" w:sz="0" w:space="0" w:color="auto"/>
        <w:bottom w:val="none" w:sz="0" w:space="0" w:color="auto"/>
        <w:right w:val="none" w:sz="0" w:space="0" w:color="auto"/>
      </w:divBdr>
    </w:div>
    <w:div w:id="1805080226">
      <w:bodyDiv w:val="1"/>
      <w:marLeft w:val="0"/>
      <w:marRight w:val="0"/>
      <w:marTop w:val="0"/>
      <w:marBottom w:val="0"/>
      <w:divBdr>
        <w:top w:val="none" w:sz="0" w:space="0" w:color="auto"/>
        <w:left w:val="none" w:sz="0" w:space="0" w:color="auto"/>
        <w:bottom w:val="none" w:sz="0" w:space="0" w:color="auto"/>
        <w:right w:val="none" w:sz="0" w:space="0" w:color="auto"/>
      </w:divBdr>
    </w:div>
    <w:div w:id="1892420053">
      <w:bodyDiv w:val="1"/>
      <w:marLeft w:val="0"/>
      <w:marRight w:val="0"/>
      <w:marTop w:val="0"/>
      <w:marBottom w:val="0"/>
      <w:divBdr>
        <w:top w:val="none" w:sz="0" w:space="0" w:color="auto"/>
        <w:left w:val="none" w:sz="0" w:space="0" w:color="auto"/>
        <w:bottom w:val="none" w:sz="0" w:space="0" w:color="auto"/>
        <w:right w:val="none" w:sz="0" w:space="0" w:color="auto"/>
      </w:divBdr>
    </w:div>
    <w:div w:id="1910573338">
      <w:bodyDiv w:val="1"/>
      <w:marLeft w:val="0"/>
      <w:marRight w:val="0"/>
      <w:marTop w:val="0"/>
      <w:marBottom w:val="0"/>
      <w:divBdr>
        <w:top w:val="none" w:sz="0" w:space="0" w:color="auto"/>
        <w:left w:val="none" w:sz="0" w:space="0" w:color="auto"/>
        <w:bottom w:val="none" w:sz="0" w:space="0" w:color="auto"/>
        <w:right w:val="none" w:sz="0" w:space="0" w:color="auto"/>
      </w:divBdr>
    </w:div>
    <w:div w:id="1932622039">
      <w:bodyDiv w:val="1"/>
      <w:marLeft w:val="0"/>
      <w:marRight w:val="0"/>
      <w:marTop w:val="0"/>
      <w:marBottom w:val="0"/>
      <w:divBdr>
        <w:top w:val="none" w:sz="0" w:space="0" w:color="auto"/>
        <w:left w:val="none" w:sz="0" w:space="0" w:color="auto"/>
        <w:bottom w:val="none" w:sz="0" w:space="0" w:color="auto"/>
        <w:right w:val="none" w:sz="0" w:space="0" w:color="auto"/>
      </w:divBdr>
    </w:div>
    <w:div w:id="1941835095">
      <w:bodyDiv w:val="1"/>
      <w:marLeft w:val="0"/>
      <w:marRight w:val="0"/>
      <w:marTop w:val="0"/>
      <w:marBottom w:val="0"/>
      <w:divBdr>
        <w:top w:val="none" w:sz="0" w:space="0" w:color="auto"/>
        <w:left w:val="none" w:sz="0" w:space="0" w:color="auto"/>
        <w:bottom w:val="none" w:sz="0" w:space="0" w:color="auto"/>
        <w:right w:val="none" w:sz="0" w:space="0" w:color="auto"/>
      </w:divBdr>
    </w:div>
    <w:div w:id="1986934195">
      <w:bodyDiv w:val="1"/>
      <w:marLeft w:val="0"/>
      <w:marRight w:val="0"/>
      <w:marTop w:val="0"/>
      <w:marBottom w:val="0"/>
      <w:divBdr>
        <w:top w:val="none" w:sz="0" w:space="0" w:color="auto"/>
        <w:left w:val="none" w:sz="0" w:space="0" w:color="auto"/>
        <w:bottom w:val="none" w:sz="0" w:space="0" w:color="auto"/>
        <w:right w:val="none" w:sz="0" w:space="0" w:color="auto"/>
      </w:divBdr>
    </w:div>
    <w:div w:id="2051494595">
      <w:bodyDiv w:val="1"/>
      <w:marLeft w:val="0"/>
      <w:marRight w:val="0"/>
      <w:marTop w:val="0"/>
      <w:marBottom w:val="0"/>
      <w:divBdr>
        <w:top w:val="none" w:sz="0" w:space="0" w:color="auto"/>
        <w:left w:val="none" w:sz="0" w:space="0" w:color="auto"/>
        <w:bottom w:val="none" w:sz="0" w:space="0" w:color="auto"/>
        <w:right w:val="none" w:sz="0" w:space="0" w:color="auto"/>
      </w:divBdr>
    </w:div>
    <w:div w:id="207816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www.bom.gov.au/jsp/awap/" TargetMode="External"/><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hyperlink" Target="http://www.bom.gov.au/climate/ahead" TargetMode="External"/><Relationship Id="rId47" Type="http://schemas.openxmlformats.org/officeDocument/2006/relationships/hyperlink" Target="http://www.water.nsw.gov.au/Home/default.aspx" TargetMode="External"/><Relationship Id="rId50" Type="http://schemas.openxmlformats.org/officeDocument/2006/relationships/hyperlink" Target="http://www.sunwater.com.au" TargetMode="External"/><Relationship Id="rId55" Type="http://schemas.openxmlformats.org/officeDocument/2006/relationships/hyperlink" Target="http://www.waterexchange.com.au" TargetMode="External"/><Relationship Id="rId7" Type="http://schemas.openxmlformats.org/officeDocument/2006/relationships/endnotes" Target="endnotes.xml"/><Relationship Id="rId12" Type="http://schemas.openxmlformats.org/officeDocument/2006/relationships/hyperlink" Target="http://www.bom.gov.au/jsp/awap/"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bom.gov.au/jsp/awap/rain/index.jsp" TargetMode="External"/><Relationship Id="rId46" Type="http://schemas.openxmlformats.org/officeDocument/2006/relationships/hyperlink" Target="http://waterinfo.nsw.gov.a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hyperlink" Target="http://www.bom.gov.au/jsp/watl/rainfall/pme.jsp" TargetMode="External"/><Relationship Id="rId54" Type="http://schemas.openxmlformats.org/officeDocument/2006/relationships/hyperlink" Target="http://www.g-mwater.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bom.gov.au/jsp/awap/" TargetMode="External"/><Relationship Id="rId45" Type="http://schemas.openxmlformats.org/officeDocument/2006/relationships/hyperlink" Target="http://www.eoc.csiro.au/awap/" TargetMode="External"/><Relationship Id="rId53" Type="http://schemas.openxmlformats.org/officeDocument/2006/relationships/hyperlink" Target="http://www.waterforgood.sa.gov.au/" TargetMode="External"/><Relationship Id="rId58" Type="http://schemas.openxmlformats.org/officeDocument/2006/relationships/hyperlink" Target="http://www.mla.com.au/Prices-and-marke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snowyhydro.com.au/lakeLevels.asp?pageID=47&amp;parentID=61&amp;grandParentID=4" TargetMode="External"/><Relationship Id="rId57" Type="http://schemas.openxmlformats.org/officeDocument/2006/relationships/hyperlink" Target="http://theland.farmonline.com.au/markets.aspx" TargetMode="External"/><Relationship Id="rId10" Type="http://schemas.openxmlformats.org/officeDocument/2006/relationships/hyperlink" Target="http://www.bom.gov.au/climate/current/weeklyrain.shtml"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www.bom.gov.au/climate/enso/" TargetMode="External"/><Relationship Id="rId52" Type="http://schemas.openxmlformats.org/officeDocument/2006/relationships/hyperlink" Target="http://www.sawater.com.au/SAWater/Environment/TheRiverMurray/River+Murray+Levels.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ff.gov.au/abares"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bom.gov.au/climate/drought/drought.shtml" TargetMode="External"/><Relationship Id="rId48" Type="http://schemas.openxmlformats.org/officeDocument/2006/relationships/hyperlink" Target="http://www.wix.nsw.gov.au/wma/DeterminationSearch.jsp?selectedRegister=Determination" TargetMode="External"/><Relationship Id="rId56" Type="http://schemas.openxmlformats.org/officeDocument/2006/relationships/hyperlink" Target="http://www.datafresh.com.au" TargetMode="External"/><Relationship Id="rId8" Type="http://schemas.openxmlformats.org/officeDocument/2006/relationships/image" Target="media/image2.jpeg"/><Relationship Id="rId51" Type="http://schemas.openxmlformats.org/officeDocument/2006/relationships/hyperlink" Target="http://seqwater.com.au"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6B74-4C74-4979-97D5-5F488A29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14</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13249</CharactersWithSpaces>
  <SharedDoc>false</SharedDoc>
  <HLinks>
    <vt:vector size="150" baseType="variant">
      <vt:variant>
        <vt:i4>589898</vt:i4>
      </vt:variant>
      <vt:variant>
        <vt:i4>69</vt:i4>
      </vt:variant>
      <vt:variant>
        <vt:i4>0</vt:i4>
      </vt:variant>
      <vt:variant>
        <vt:i4>5</vt:i4>
      </vt:variant>
      <vt:variant>
        <vt:lpwstr>http://www.mla.com.au/Prices-and-markets</vt:lpwstr>
      </vt:variant>
      <vt:variant>
        <vt:lpwstr/>
      </vt:variant>
      <vt:variant>
        <vt:i4>4456512</vt:i4>
      </vt:variant>
      <vt:variant>
        <vt:i4>66</vt:i4>
      </vt:variant>
      <vt:variant>
        <vt:i4>0</vt:i4>
      </vt:variant>
      <vt:variant>
        <vt:i4>5</vt:i4>
      </vt:variant>
      <vt:variant>
        <vt:lpwstr>http://theland.farmonline.com.au/markets.aspx</vt:lpwstr>
      </vt:variant>
      <vt:variant>
        <vt:lpwstr/>
      </vt:variant>
      <vt:variant>
        <vt:i4>1048651</vt:i4>
      </vt:variant>
      <vt:variant>
        <vt:i4>63</vt:i4>
      </vt:variant>
      <vt:variant>
        <vt:i4>0</vt:i4>
      </vt:variant>
      <vt:variant>
        <vt:i4>5</vt:i4>
      </vt:variant>
      <vt:variant>
        <vt:lpwstr>http://www.datafresh.com.au/</vt:lpwstr>
      </vt:variant>
      <vt:variant>
        <vt:lpwstr/>
      </vt:variant>
      <vt:variant>
        <vt:i4>65614</vt:i4>
      </vt:variant>
      <vt:variant>
        <vt:i4>60</vt:i4>
      </vt:variant>
      <vt:variant>
        <vt:i4>0</vt:i4>
      </vt:variant>
      <vt:variant>
        <vt:i4>5</vt:i4>
      </vt:variant>
      <vt:variant>
        <vt:lpwstr>http://www.waterexchange.com.au/</vt:lpwstr>
      </vt:variant>
      <vt:variant>
        <vt:lpwstr/>
      </vt:variant>
      <vt:variant>
        <vt:i4>4128867</vt:i4>
      </vt:variant>
      <vt:variant>
        <vt:i4>57</vt:i4>
      </vt:variant>
      <vt:variant>
        <vt:i4>0</vt:i4>
      </vt:variant>
      <vt:variant>
        <vt:i4>5</vt:i4>
      </vt:variant>
      <vt:variant>
        <vt:lpwstr>http://www.g-mwater.com.au/</vt:lpwstr>
      </vt:variant>
      <vt:variant>
        <vt:lpwstr/>
      </vt:variant>
      <vt:variant>
        <vt:i4>2949154</vt:i4>
      </vt:variant>
      <vt:variant>
        <vt:i4>54</vt:i4>
      </vt:variant>
      <vt:variant>
        <vt:i4>0</vt:i4>
      </vt:variant>
      <vt:variant>
        <vt:i4>5</vt:i4>
      </vt:variant>
      <vt:variant>
        <vt:lpwstr>http://www.waterforgood.sa.gov.au/</vt:lpwstr>
      </vt:variant>
      <vt:variant>
        <vt:lpwstr/>
      </vt:variant>
      <vt:variant>
        <vt:i4>5373962</vt:i4>
      </vt:variant>
      <vt:variant>
        <vt:i4>51</vt:i4>
      </vt:variant>
      <vt:variant>
        <vt:i4>0</vt:i4>
      </vt:variant>
      <vt:variant>
        <vt:i4>5</vt:i4>
      </vt:variant>
      <vt:variant>
        <vt:lpwstr>http://www.sawater.com.au/SAWater/Environment/TheRiverMurray/River+Murray+Levels.htm</vt:lpwstr>
      </vt:variant>
      <vt:variant>
        <vt:lpwstr/>
      </vt:variant>
      <vt:variant>
        <vt:i4>3604594</vt:i4>
      </vt:variant>
      <vt:variant>
        <vt:i4>48</vt:i4>
      </vt:variant>
      <vt:variant>
        <vt:i4>0</vt:i4>
      </vt:variant>
      <vt:variant>
        <vt:i4>5</vt:i4>
      </vt:variant>
      <vt:variant>
        <vt:lpwstr>http://seqwater.com.au/</vt:lpwstr>
      </vt:variant>
      <vt:variant>
        <vt:lpwstr/>
      </vt:variant>
      <vt:variant>
        <vt:i4>2621499</vt:i4>
      </vt:variant>
      <vt:variant>
        <vt:i4>45</vt:i4>
      </vt:variant>
      <vt:variant>
        <vt:i4>0</vt:i4>
      </vt:variant>
      <vt:variant>
        <vt:i4>5</vt:i4>
      </vt:variant>
      <vt:variant>
        <vt:lpwstr>http://www.sunwater.com.au/</vt:lpwstr>
      </vt:variant>
      <vt:variant>
        <vt:lpwstr/>
      </vt:variant>
      <vt:variant>
        <vt:i4>1966087</vt:i4>
      </vt:variant>
      <vt:variant>
        <vt:i4>42</vt:i4>
      </vt:variant>
      <vt:variant>
        <vt:i4>0</vt:i4>
      </vt:variant>
      <vt:variant>
        <vt:i4>5</vt:i4>
      </vt:variant>
      <vt:variant>
        <vt:lpwstr>http://www.snowyhydro.com.au/lakeLevels.asp?pageID=47&amp;parentID=61&amp;grandParentID=4</vt:lpwstr>
      </vt:variant>
      <vt:variant>
        <vt:lpwstr/>
      </vt:variant>
      <vt:variant>
        <vt:i4>6029407</vt:i4>
      </vt:variant>
      <vt:variant>
        <vt:i4>39</vt:i4>
      </vt:variant>
      <vt:variant>
        <vt:i4>0</vt:i4>
      </vt:variant>
      <vt:variant>
        <vt:i4>5</vt:i4>
      </vt:variant>
      <vt:variant>
        <vt:lpwstr>http://www.wix.nsw.gov.au/wma/DeterminationSearch.jsp?selectedRegister=Determination</vt:lpwstr>
      </vt:variant>
      <vt:variant>
        <vt:lpwstr/>
      </vt:variant>
      <vt:variant>
        <vt:i4>262156</vt:i4>
      </vt:variant>
      <vt:variant>
        <vt:i4>36</vt:i4>
      </vt:variant>
      <vt:variant>
        <vt:i4>0</vt:i4>
      </vt:variant>
      <vt:variant>
        <vt:i4>5</vt:i4>
      </vt:variant>
      <vt:variant>
        <vt:lpwstr>http://www.water.nsw.gov.au/Home/default.aspx</vt:lpwstr>
      </vt:variant>
      <vt:variant>
        <vt:lpwstr/>
      </vt:variant>
      <vt:variant>
        <vt:i4>1900613</vt:i4>
      </vt:variant>
      <vt:variant>
        <vt:i4>33</vt:i4>
      </vt:variant>
      <vt:variant>
        <vt:i4>0</vt:i4>
      </vt:variant>
      <vt:variant>
        <vt:i4>5</vt:i4>
      </vt:variant>
      <vt:variant>
        <vt:lpwstr>http://waterinfo.nsw.gov.au/</vt:lpwstr>
      </vt:variant>
      <vt:variant>
        <vt:lpwstr/>
      </vt:variant>
      <vt:variant>
        <vt:i4>65611</vt:i4>
      </vt:variant>
      <vt:variant>
        <vt:i4>30</vt:i4>
      </vt:variant>
      <vt:variant>
        <vt:i4>0</vt:i4>
      </vt:variant>
      <vt:variant>
        <vt:i4>5</vt:i4>
      </vt:variant>
      <vt:variant>
        <vt:lpwstr>http://www.eoc.csiro.au/awap/</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2424876</vt:i4>
      </vt:variant>
      <vt:variant>
        <vt:i4>24</vt:i4>
      </vt:variant>
      <vt:variant>
        <vt:i4>0</vt:i4>
      </vt:variant>
      <vt:variant>
        <vt:i4>5</vt:i4>
      </vt:variant>
      <vt:variant>
        <vt:lpwstr>http://www.bom.gov.au/climate/drought/drought.shtml</vt:lpwstr>
      </vt:variant>
      <vt:variant>
        <vt:lpwstr/>
      </vt:variant>
      <vt:variant>
        <vt:i4>2621487</vt:i4>
      </vt:variant>
      <vt:variant>
        <vt:i4>21</vt:i4>
      </vt:variant>
      <vt:variant>
        <vt:i4>0</vt:i4>
      </vt:variant>
      <vt:variant>
        <vt:i4>5</vt:i4>
      </vt:variant>
      <vt:variant>
        <vt:lpwstr>http://www.bom.gov.au/climate/ahead</vt:lpwstr>
      </vt:variant>
      <vt:variant>
        <vt:lpwstr/>
      </vt:variant>
      <vt:variant>
        <vt:i4>2359406</vt:i4>
      </vt:variant>
      <vt:variant>
        <vt:i4>18</vt:i4>
      </vt:variant>
      <vt:variant>
        <vt:i4>0</vt:i4>
      </vt:variant>
      <vt:variant>
        <vt:i4>5</vt:i4>
      </vt:variant>
      <vt:variant>
        <vt:lpwstr>http://www.bom.gov.au/jsp/watl/rainfall/pme.jsp</vt:lpwstr>
      </vt:variant>
      <vt:variant>
        <vt:lpwstr/>
      </vt:variant>
      <vt:variant>
        <vt:i4>2097215</vt:i4>
      </vt:variant>
      <vt:variant>
        <vt:i4>15</vt:i4>
      </vt:variant>
      <vt:variant>
        <vt:i4>0</vt:i4>
      </vt:variant>
      <vt:variant>
        <vt:i4>5</vt:i4>
      </vt:variant>
      <vt:variant>
        <vt:lpwstr>http://www.bom.gov.au/jsp/awap/</vt:lpwstr>
      </vt:variant>
      <vt:variant>
        <vt:lpwstr/>
      </vt:variant>
      <vt:variant>
        <vt:i4>2097215</vt:i4>
      </vt:variant>
      <vt:variant>
        <vt:i4>12</vt:i4>
      </vt:variant>
      <vt:variant>
        <vt:i4>0</vt:i4>
      </vt:variant>
      <vt:variant>
        <vt:i4>5</vt:i4>
      </vt:variant>
      <vt:variant>
        <vt:lpwstr>http://www.bom.gov.au/jsp/awap/</vt:lpwstr>
      </vt:variant>
      <vt:variant>
        <vt:lpwstr/>
      </vt:variant>
      <vt:variant>
        <vt:i4>4325376</vt:i4>
      </vt:variant>
      <vt:variant>
        <vt:i4>9</vt:i4>
      </vt:variant>
      <vt:variant>
        <vt:i4>0</vt:i4>
      </vt:variant>
      <vt:variant>
        <vt:i4>5</vt:i4>
      </vt:variant>
      <vt:variant>
        <vt:lpwstr>http://www.bom.gov.au/jsp/awap/rain/index.jsp</vt:lpwstr>
      </vt:variant>
      <vt:variant>
        <vt:lpwstr/>
      </vt:variant>
      <vt:variant>
        <vt:i4>2097215</vt:i4>
      </vt:variant>
      <vt:variant>
        <vt:i4>6</vt:i4>
      </vt:variant>
      <vt:variant>
        <vt:i4>0</vt:i4>
      </vt:variant>
      <vt:variant>
        <vt:i4>5</vt:i4>
      </vt:variant>
      <vt:variant>
        <vt:lpwstr>http://www.bom.gov.au/jsp/awap/</vt:lpwstr>
      </vt:variant>
      <vt:variant>
        <vt:lpwstr/>
      </vt:variant>
      <vt:variant>
        <vt:i4>7602277</vt:i4>
      </vt:variant>
      <vt:variant>
        <vt:i4>3</vt:i4>
      </vt:variant>
      <vt:variant>
        <vt:i4>0</vt:i4>
      </vt:variant>
      <vt:variant>
        <vt:i4>5</vt:i4>
      </vt:variant>
      <vt:variant>
        <vt:lpwstr>http://www.bom.gov.au/climate/current/weeklyrain.shtml</vt:lpwstr>
      </vt:variant>
      <vt:variant>
        <vt:lpwstr/>
      </vt:variant>
      <vt:variant>
        <vt:i4>5636120</vt:i4>
      </vt:variant>
      <vt:variant>
        <vt:i4>0</vt:i4>
      </vt:variant>
      <vt:variant>
        <vt:i4>0</vt:i4>
      </vt:variant>
      <vt:variant>
        <vt:i4>5</vt:i4>
      </vt:variant>
      <vt:variant>
        <vt:lpwstr>http://www.daff.gov.au/abares</vt:lpwstr>
      </vt:variant>
      <vt:variant>
        <vt:lpwstr/>
      </vt:variant>
      <vt:variant>
        <vt:i4>109</vt:i4>
      </vt:variant>
      <vt:variant>
        <vt:i4>0</vt:i4>
      </vt:variant>
      <vt:variant>
        <vt:i4>0</vt:i4>
      </vt:variant>
      <vt:variant>
        <vt:i4>5</vt:i4>
      </vt:variant>
      <vt:variant>
        <vt:lpwstr>mailto:ClimateUpdate@daff.gov.au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georgeson lee</dc:creator>
  <cp:lastModifiedBy>DAFF</cp:lastModifiedBy>
  <cp:revision>101</cp:revision>
  <cp:lastPrinted>2012-10-04T03:54:00Z</cp:lastPrinted>
  <dcterms:created xsi:type="dcterms:W3CDTF">2012-10-24T04:11:00Z</dcterms:created>
  <dcterms:modified xsi:type="dcterms:W3CDTF">2012-10-25T02:29:00Z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-722240764</vt:i4>
  </property>
</Properties>
</file>