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CC" w:rsidRDefault="009973D0" w:rsidP="00637975">
      <w:pPr>
        <w:pStyle w:val="Heading2"/>
        <w:keepNext w:val="0"/>
        <w:keepLines w:val="0"/>
        <w:widowControl w:val="0"/>
        <w:spacing w:before="1920" w:after="120"/>
        <w:ind w:left="198"/>
        <w:rPr>
          <w:rFonts w:cs="Arial"/>
          <w:noProof/>
          <w:lang w:eastAsia="en-AU"/>
        </w:rPr>
      </w:pPr>
      <w:r>
        <w:rPr>
          <w:rFonts w:cs="Arial"/>
          <w:b/>
          <w:bCs w:val="0"/>
          <w:noProof/>
          <w:color w:val="FF0000"/>
          <w:lang w:eastAsia="en-AU"/>
        </w:rPr>
        <w:drawing>
          <wp:anchor distT="0" distB="0" distL="114300" distR="114300" simplePos="0" relativeHeight="251657728" behindDoc="1" locked="0" layoutInCell="1" allowOverlap="1">
            <wp:simplePos x="0" y="0"/>
            <wp:positionH relativeFrom="margin">
              <wp:posOffset>-608965</wp:posOffset>
            </wp:positionH>
            <wp:positionV relativeFrom="margin">
              <wp:posOffset>-831850</wp:posOffset>
            </wp:positionV>
            <wp:extent cx="7075805" cy="2865755"/>
            <wp:effectExtent l="19050" t="0" r="0" b="0"/>
            <wp:wrapNone/>
            <wp:docPr id="22" name="Picture 2" descr="Australian Government&#10;Department of Agriculture, Fisheries and Forestry&#10;Australian Bureau of Agricultural and Resource Economic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10;Department of Agriculture, Fisheries and Forestry&#10;Australian Bureau of Agricultural and Resource Economics and Sciences"/>
                    <pic:cNvPicPr>
                      <a:picLocks noChangeAspect="1" noChangeArrowheads="1"/>
                    </pic:cNvPicPr>
                  </pic:nvPicPr>
                  <pic:blipFill>
                    <a:blip r:embed="rId8" cstate="print"/>
                    <a:srcRect/>
                    <a:stretch>
                      <a:fillRect/>
                    </a:stretch>
                  </pic:blipFill>
                  <pic:spPr bwMode="auto">
                    <a:xfrm>
                      <a:off x="0" y="0"/>
                      <a:ext cx="7075805" cy="2865755"/>
                    </a:xfrm>
                    <a:prstGeom prst="rect">
                      <a:avLst/>
                    </a:prstGeom>
                    <a:noFill/>
                    <a:ln w="9525">
                      <a:noFill/>
                      <a:miter lim="800000"/>
                      <a:headEnd/>
                      <a:tailEnd/>
                    </a:ln>
                  </pic:spPr>
                </pic:pic>
              </a:graphicData>
            </a:graphic>
          </wp:anchor>
        </w:drawing>
      </w:r>
      <w:r w:rsidR="00BD11F9">
        <w:rPr>
          <w:rFonts w:cs="Arial"/>
          <w:noProof/>
          <w:lang w:eastAsia="en-AU"/>
        </w:rPr>
        <w:t>21</w:t>
      </w:r>
      <w:r w:rsidR="008423B1">
        <w:rPr>
          <w:rFonts w:cs="Arial"/>
          <w:noProof/>
          <w:lang w:eastAsia="en-AU"/>
        </w:rPr>
        <w:t xml:space="preserve"> </w:t>
      </w:r>
      <w:r w:rsidR="00E157EB">
        <w:rPr>
          <w:rFonts w:cs="Arial"/>
          <w:noProof/>
          <w:lang w:eastAsia="en-AU"/>
        </w:rPr>
        <w:t>June</w:t>
      </w:r>
      <w:r w:rsidR="00B91946">
        <w:rPr>
          <w:rFonts w:cs="Arial"/>
          <w:noProof/>
          <w:lang w:eastAsia="en-AU"/>
        </w:rPr>
        <w:t xml:space="preserve"> 2012</w:t>
      </w:r>
    </w:p>
    <w:p w:rsidR="003C5ACC" w:rsidRDefault="00B91946">
      <w:pPr>
        <w:ind w:left="196"/>
        <w:rPr>
          <w:rFonts w:ascii="Calibri" w:hAnsi="Calibri" w:cs="Arial"/>
          <w:sz w:val="22"/>
          <w:szCs w:val="22"/>
        </w:rPr>
      </w:pPr>
      <w:r>
        <w:rPr>
          <w:rFonts w:ascii="Calibri" w:hAnsi="Calibri" w:cs="Arial"/>
          <w:sz w:val="22"/>
          <w:szCs w:val="22"/>
        </w:rPr>
        <w:t xml:space="preserve">The full report is available from </w:t>
      </w:r>
      <w:hyperlink r:id="rId9" w:history="1">
        <w:r>
          <w:rPr>
            <w:rStyle w:val="Hyperlink"/>
            <w:rFonts w:ascii="Calibri" w:hAnsi="Calibri" w:cs="Arial"/>
            <w:b/>
            <w:sz w:val="22"/>
            <w:szCs w:val="22"/>
          </w:rPr>
          <w:t>www.daff.gov.au/abares</w:t>
        </w:r>
      </w:hyperlink>
    </w:p>
    <w:p w:rsidR="003C5ACC" w:rsidRPr="004418D0" w:rsidRDefault="00B91946">
      <w:pPr>
        <w:pStyle w:val="Heading1"/>
        <w:keepNext w:val="0"/>
        <w:keepLines w:val="0"/>
        <w:pageBreakBefore w:val="0"/>
        <w:widowControl w:val="0"/>
        <w:numPr>
          <w:ilvl w:val="0"/>
          <w:numId w:val="0"/>
        </w:numPr>
        <w:spacing w:before="200" w:after="120"/>
        <w:ind w:left="196" w:firstLine="14"/>
        <w:rPr>
          <w:color w:val="auto"/>
        </w:rPr>
      </w:pPr>
      <w:r w:rsidRPr="004418D0">
        <w:rPr>
          <w:color w:val="auto"/>
        </w:rPr>
        <w:t>Summary of key issues</w:t>
      </w:r>
    </w:p>
    <w:p w:rsidR="0039793E" w:rsidRPr="00F52293" w:rsidRDefault="00C916BA" w:rsidP="00B9435B">
      <w:pPr>
        <w:pStyle w:val="ListBullet"/>
        <w:numPr>
          <w:ilvl w:val="0"/>
          <w:numId w:val="2"/>
        </w:numPr>
        <w:spacing w:before="80"/>
        <w:ind w:left="426" w:hanging="426"/>
        <w:rPr>
          <w:rFonts w:ascii="Calibri" w:hAnsi="Calibri" w:cs="Arial"/>
          <w:bCs/>
          <w:sz w:val="24"/>
          <w:lang w:eastAsia="en-US"/>
        </w:rPr>
      </w:pPr>
      <w:r w:rsidRPr="00F52293">
        <w:rPr>
          <w:rFonts w:ascii="Calibri" w:hAnsi="Calibri" w:cs="Arial"/>
          <w:sz w:val="24"/>
          <w:lang w:eastAsia="en-US"/>
        </w:rPr>
        <w:t>Winter crops will benefit from rainfall received this week ac</w:t>
      </w:r>
      <w:r w:rsidR="00D4347E" w:rsidRPr="00F52293">
        <w:rPr>
          <w:rFonts w:ascii="Calibri" w:hAnsi="Calibri" w:cs="Calibri"/>
          <w:sz w:val="24"/>
          <w:lang w:eastAsia="en-US"/>
        </w:rPr>
        <w:t>ross most of south</w:t>
      </w:r>
      <w:r w:rsidR="003B5A71" w:rsidRPr="00F52293">
        <w:rPr>
          <w:rFonts w:ascii="Calibri" w:hAnsi="Calibri" w:cs="Calibri"/>
          <w:sz w:val="24"/>
          <w:lang w:eastAsia="en-US"/>
        </w:rPr>
        <w:t xml:space="preserve">ern </w:t>
      </w:r>
      <w:r w:rsidR="00D4347E" w:rsidRPr="00F52293">
        <w:rPr>
          <w:rFonts w:ascii="Calibri" w:hAnsi="Calibri" w:cs="Calibri"/>
          <w:sz w:val="24"/>
          <w:lang w:eastAsia="en-US"/>
        </w:rPr>
        <w:t>Australia</w:t>
      </w:r>
      <w:r w:rsidR="00D4347E" w:rsidRPr="00F52293">
        <w:rPr>
          <w:rFonts w:ascii="Calibri" w:hAnsi="Calibri" w:cs="Arial"/>
          <w:sz w:val="24"/>
          <w:lang w:eastAsia="en-US"/>
        </w:rPr>
        <w:t>.</w:t>
      </w:r>
    </w:p>
    <w:p w:rsidR="0039793E" w:rsidRPr="00F52293" w:rsidRDefault="00C916BA"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bCs/>
          <w:sz w:val="24"/>
          <w:lang w:eastAsia="en-US"/>
        </w:rPr>
        <w:t>The recent rainfall will particularly benefit g</w:t>
      </w:r>
      <w:r w:rsidR="003B5A71" w:rsidRPr="00F52293">
        <w:rPr>
          <w:rFonts w:ascii="Calibri" w:hAnsi="Calibri" w:cs="Arial"/>
          <w:bCs/>
          <w:sz w:val="24"/>
          <w:lang w:eastAsia="en-US"/>
        </w:rPr>
        <w:t xml:space="preserve">rain producers in parts of western Victoria and South Australia </w:t>
      </w:r>
      <w:r w:rsidRPr="00F52293">
        <w:rPr>
          <w:rFonts w:ascii="Calibri" w:hAnsi="Calibri" w:cs="Arial"/>
          <w:bCs/>
          <w:sz w:val="24"/>
          <w:lang w:eastAsia="en-US"/>
        </w:rPr>
        <w:t xml:space="preserve">who </w:t>
      </w:r>
      <w:r w:rsidR="003B5A71" w:rsidRPr="00F52293">
        <w:rPr>
          <w:rFonts w:ascii="Calibri" w:hAnsi="Calibri" w:cs="Arial"/>
          <w:bCs/>
          <w:sz w:val="24"/>
          <w:lang w:eastAsia="en-US"/>
        </w:rPr>
        <w:t>have had a slow start to the season.</w:t>
      </w:r>
      <w:r w:rsidRPr="00F52293">
        <w:rPr>
          <w:rFonts w:ascii="Calibri" w:hAnsi="Calibri" w:cs="Arial"/>
          <w:bCs/>
          <w:sz w:val="24"/>
          <w:lang w:eastAsia="en-US"/>
        </w:rPr>
        <w:t xml:space="preserve"> Further r</w:t>
      </w:r>
      <w:r w:rsidR="003B5A71" w:rsidRPr="00F52293">
        <w:rPr>
          <w:rFonts w:ascii="Calibri" w:hAnsi="Calibri" w:cs="Arial"/>
          <w:bCs/>
          <w:sz w:val="24"/>
          <w:lang w:eastAsia="en-US"/>
        </w:rPr>
        <w:t xml:space="preserve">ain is forecast across these areas in the </w:t>
      </w:r>
      <w:r w:rsidRPr="00F52293">
        <w:rPr>
          <w:rFonts w:ascii="Calibri" w:hAnsi="Calibri" w:cs="Arial"/>
          <w:bCs/>
          <w:sz w:val="24"/>
          <w:lang w:eastAsia="en-US"/>
        </w:rPr>
        <w:t>coming week</w:t>
      </w:r>
      <w:r w:rsidR="003B5A71" w:rsidRPr="00F52293">
        <w:rPr>
          <w:rFonts w:ascii="Calibri" w:hAnsi="Calibri" w:cs="Arial"/>
          <w:bCs/>
          <w:sz w:val="24"/>
          <w:lang w:eastAsia="en-US"/>
        </w:rPr>
        <w:t>.</w:t>
      </w:r>
    </w:p>
    <w:p w:rsidR="004A74A6" w:rsidRPr="00F52293" w:rsidRDefault="004A74A6" w:rsidP="005D02BC">
      <w:pPr>
        <w:pStyle w:val="ListBullet"/>
        <w:numPr>
          <w:ilvl w:val="0"/>
          <w:numId w:val="2"/>
        </w:numPr>
        <w:spacing w:before="80"/>
        <w:ind w:left="426" w:hanging="426"/>
        <w:rPr>
          <w:rFonts w:ascii="Calibri" w:hAnsi="Calibri" w:cs="Arial"/>
          <w:bCs/>
          <w:sz w:val="24"/>
          <w:lang w:eastAsia="en-US"/>
        </w:rPr>
      </w:pPr>
      <w:r w:rsidRPr="00F52293">
        <w:rPr>
          <w:rFonts w:ascii="Calibri" w:hAnsi="Calibri" w:cs="Arial"/>
          <w:bCs/>
          <w:sz w:val="24"/>
          <w:lang w:eastAsia="en-US"/>
        </w:rPr>
        <w:t xml:space="preserve">Neutral El Niño/Southern Oscillation (ENSO) conditions persist, </w:t>
      </w:r>
      <w:r w:rsidR="0097785E" w:rsidRPr="00F52293">
        <w:rPr>
          <w:rFonts w:ascii="Calibri" w:hAnsi="Calibri" w:cs="Arial"/>
          <w:bCs/>
          <w:sz w:val="24"/>
          <w:lang w:eastAsia="en-US"/>
        </w:rPr>
        <w:t>with</w:t>
      </w:r>
      <w:r w:rsidRPr="00F52293">
        <w:rPr>
          <w:rFonts w:ascii="Calibri" w:hAnsi="Calibri" w:cs="Arial"/>
          <w:bCs/>
          <w:sz w:val="24"/>
          <w:lang w:eastAsia="en-US"/>
        </w:rPr>
        <w:t xml:space="preserve"> the majority of climate models forecast El Nino conditions f</w:t>
      </w:r>
      <w:r w:rsidR="0051705E" w:rsidRPr="00F52293">
        <w:rPr>
          <w:rFonts w:ascii="Calibri" w:hAnsi="Calibri" w:cs="Arial"/>
          <w:bCs/>
          <w:sz w:val="24"/>
          <w:lang w:eastAsia="en-US"/>
        </w:rPr>
        <w:t>orming before the end of winter.</w:t>
      </w:r>
    </w:p>
    <w:p w:rsidR="00717B77" w:rsidRPr="00F52293" w:rsidRDefault="00717B77"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bCs/>
          <w:sz w:val="24"/>
          <w:lang w:eastAsia="en-US"/>
        </w:rPr>
        <w:t>Warmer and drier conditions are forecast across most of Australia over the next three months.</w:t>
      </w:r>
    </w:p>
    <w:p w:rsidR="00514EA8" w:rsidRPr="00F52293" w:rsidRDefault="00514EA8" w:rsidP="00D17351">
      <w:pPr>
        <w:pStyle w:val="ListBullet"/>
        <w:numPr>
          <w:ilvl w:val="0"/>
          <w:numId w:val="2"/>
        </w:numPr>
        <w:spacing w:before="80"/>
        <w:ind w:left="426" w:hanging="426"/>
        <w:rPr>
          <w:rFonts w:ascii="Calibri" w:hAnsi="Calibri" w:cs="Arial"/>
          <w:bCs/>
          <w:sz w:val="24"/>
          <w:lang w:eastAsia="en-US"/>
        </w:rPr>
      </w:pPr>
      <w:r w:rsidRPr="00F52293">
        <w:rPr>
          <w:rFonts w:ascii="Calibri" w:hAnsi="Calibri" w:cs="Arial"/>
          <w:bCs/>
          <w:sz w:val="24"/>
          <w:lang w:eastAsia="en-US"/>
        </w:rPr>
        <w:t xml:space="preserve">Water storage levels in the Murray–Darling Basin increased </w:t>
      </w:r>
      <w:r w:rsidR="00C556A3" w:rsidRPr="00F52293">
        <w:rPr>
          <w:rFonts w:ascii="Calibri" w:hAnsi="Calibri" w:cs="Arial"/>
          <w:bCs/>
          <w:sz w:val="24"/>
          <w:lang w:eastAsia="en-US"/>
        </w:rPr>
        <w:t>this week by 108 </w:t>
      </w:r>
      <w:proofErr w:type="spellStart"/>
      <w:r w:rsidR="00C556A3" w:rsidRPr="00F52293">
        <w:rPr>
          <w:rFonts w:ascii="Calibri" w:hAnsi="Calibri" w:cs="Arial"/>
          <w:bCs/>
          <w:sz w:val="24"/>
          <w:lang w:eastAsia="en-US"/>
        </w:rPr>
        <w:t>gigalitres</w:t>
      </w:r>
      <w:proofErr w:type="spellEnd"/>
      <w:r w:rsidR="00C556A3" w:rsidRPr="00F52293">
        <w:rPr>
          <w:rFonts w:ascii="Calibri" w:hAnsi="Calibri" w:cs="Arial"/>
          <w:bCs/>
          <w:sz w:val="24"/>
          <w:lang w:eastAsia="en-US"/>
        </w:rPr>
        <w:t xml:space="preserve"> </w:t>
      </w:r>
      <w:r w:rsidR="00784179" w:rsidRPr="00F52293">
        <w:rPr>
          <w:rFonts w:ascii="Calibri" w:hAnsi="Calibri" w:cs="Arial"/>
          <w:bCs/>
          <w:sz w:val="24"/>
          <w:lang w:eastAsia="en-US"/>
        </w:rPr>
        <w:t xml:space="preserve">and </w:t>
      </w:r>
      <w:r w:rsidRPr="00F52293">
        <w:rPr>
          <w:rFonts w:ascii="Calibri" w:hAnsi="Calibri" w:cs="Arial"/>
          <w:bCs/>
          <w:sz w:val="24"/>
          <w:lang w:eastAsia="en-US"/>
        </w:rPr>
        <w:t>remain</w:t>
      </w:r>
      <w:r w:rsidR="00784179" w:rsidRPr="00F52293">
        <w:rPr>
          <w:rFonts w:ascii="Calibri" w:hAnsi="Calibri" w:cs="Arial"/>
          <w:bCs/>
          <w:sz w:val="24"/>
          <w:lang w:eastAsia="en-US"/>
        </w:rPr>
        <w:t xml:space="preserve"> at</w:t>
      </w:r>
      <w:r w:rsidRPr="00F52293">
        <w:rPr>
          <w:rFonts w:ascii="Calibri" w:hAnsi="Calibri" w:cs="Arial"/>
          <w:bCs/>
          <w:sz w:val="24"/>
          <w:lang w:eastAsia="en-US"/>
        </w:rPr>
        <w:t xml:space="preserve"> approximately 91 per cent of total capacity.</w:t>
      </w:r>
    </w:p>
    <w:p w:rsidR="00C556A3" w:rsidRPr="00F52293" w:rsidRDefault="00C556A3" w:rsidP="00435035">
      <w:pPr>
        <w:pStyle w:val="ListBullet"/>
        <w:numPr>
          <w:ilvl w:val="0"/>
          <w:numId w:val="2"/>
        </w:numPr>
        <w:spacing w:before="80"/>
        <w:ind w:left="426" w:hanging="426"/>
        <w:rPr>
          <w:rFonts w:ascii="Calibri" w:hAnsi="Calibri" w:cs="Arial"/>
          <w:bCs/>
          <w:sz w:val="24"/>
          <w:lang w:eastAsia="en-US"/>
        </w:rPr>
      </w:pPr>
      <w:r w:rsidRPr="00F52293">
        <w:rPr>
          <w:rFonts w:ascii="Calibri" w:hAnsi="Calibri" w:cs="Arial"/>
          <w:bCs/>
          <w:sz w:val="24"/>
          <w:lang w:eastAsia="en-US"/>
        </w:rPr>
        <w:t>Fruit wholesale prices were generally lower or uncha</w:t>
      </w:r>
      <w:r w:rsidR="00B23C8F" w:rsidRPr="00F52293">
        <w:rPr>
          <w:rFonts w:ascii="Calibri" w:hAnsi="Calibri" w:cs="Arial"/>
          <w:bCs/>
          <w:sz w:val="24"/>
          <w:lang w:eastAsia="en-US"/>
        </w:rPr>
        <w:t>nged in the week ending 16 June </w:t>
      </w:r>
      <w:r w:rsidRPr="00F52293">
        <w:rPr>
          <w:rFonts w:ascii="Calibri" w:hAnsi="Calibri" w:cs="Arial"/>
          <w:bCs/>
          <w:sz w:val="24"/>
          <w:lang w:eastAsia="en-US"/>
        </w:rPr>
        <w:t>2012, while vegetable wholesale prices were generally lower.</w:t>
      </w:r>
    </w:p>
    <w:p w:rsidR="00C556A3" w:rsidRPr="00F52293" w:rsidRDefault="00C556A3" w:rsidP="005D02BC">
      <w:pPr>
        <w:pStyle w:val="ListBullet"/>
        <w:numPr>
          <w:ilvl w:val="0"/>
          <w:numId w:val="2"/>
        </w:numPr>
        <w:spacing w:before="80"/>
        <w:ind w:left="426" w:hanging="426"/>
        <w:rPr>
          <w:rFonts w:ascii="Calibri" w:hAnsi="Calibri" w:cs="Arial"/>
          <w:bCs/>
          <w:sz w:val="24"/>
          <w:lang w:eastAsia="en-US"/>
        </w:rPr>
      </w:pPr>
      <w:r w:rsidRPr="00F52293">
        <w:rPr>
          <w:rFonts w:ascii="Calibri" w:hAnsi="Calibri" w:cs="Arial"/>
          <w:bCs/>
          <w:sz w:val="24"/>
          <w:lang w:eastAsia="en-US"/>
        </w:rPr>
        <w:t xml:space="preserve">The world cotton indicator price (the </w:t>
      </w:r>
      <w:proofErr w:type="spellStart"/>
      <w:r w:rsidRPr="00F52293">
        <w:rPr>
          <w:rFonts w:ascii="Calibri" w:hAnsi="Calibri" w:cs="Arial"/>
          <w:bCs/>
          <w:sz w:val="24"/>
          <w:lang w:eastAsia="en-US"/>
        </w:rPr>
        <w:t>Cotlook</w:t>
      </w:r>
      <w:proofErr w:type="spellEnd"/>
      <w:r w:rsidRPr="00F52293">
        <w:rPr>
          <w:rFonts w:ascii="Calibri" w:hAnsi="Calibri" w:cs="Arial"/>
          <w:bCs/>
          <w:sz w:val="24"/>
          <w:lang w:eastAsia="en-US"/>
        </w:rPr>
        <w:t xml:space="preserve"> ‘</w:t>
      </w:r>
      <w:proofErr w:type="gramStart"/>
      <w:r w:rsidRPr="00F52293">
        <w:rPr>
          <w:rFonts w:ascii="Calibri" w:hAnsi="Calibri" w:cs="Arial"/>
          <w:bCs/>
          <w:sz w:val="24"/>
          <w:lang w:eastAsia="en-US"/>
        </w:rPr>
        <w:t>A</w:t>
      </w:r>
      <w:proofErr w:type="gramEnd"/>
      <w:r w:rsidRPr="00F52293">
        <w:rPr>
          <w:rFonts w:ascii="Calibri" w:hAnsi="Calibri" w:cs="Arial"/>
          <w:bCs/>
          <w:sz w:val="24"/>
          <w:lang w:eastAsia="en-US"/>
        </w:rPr>
        <w:t>’ index) averaged around US84 cents a pound in the week ending 20 June 2012, compared with US82.4 cents a pound in the previous week.</w:t>
      </w:r>
    </w:p>
    <w:p w:rsidR="003D3E52" w:rsidRPr="00F52293" w:rsidRDefault="003D3E52" w:rsidP="003D3E52">
      <w:pPr>
        <w:pStyle w:val="ListParagraph"/>
        <w:numPr>
          <w:ilvl w:val="0"/>
          <w:numId w:val="2"/>
        </w:numPr>
        <w:spacing w:before="120" w:after="120" w:line="240" w:lineRule="auto"/>
        <w:contextualSpacing w:val="0"/>
        <w:rPr>
          <w:rFonts w:eastAsia="Times New Roman" w:cs="Arial"/>
          <w:bCs/>
          <w:sz w:val="24"/>
          <w:szCs w:val="24"/>
        </w:rPr>
      </w:pPr>
      <w:r w:rsidRPr="00F52293">
        <w:rPr>
          <w:rFonts w:eastAsia="Times New Roman" w:cs="Arial"/>
          <w:bCs/>
          <w:sz w:val="24"/>
          <w:szCs w:val="24"/>
        </w:rPr>
        <w:t>The world sugar indicator price (Intercontinental Exchange, nearby futures, no. 11 contract) averaged US21 cents a pound in the week ending 20 June 2012, 4.5 per cent higher than in the previous week.</w:t>
      </w:r>
    </w:p>
    <w:p w:rsidR="003D3E52" w:rsidRPr="00F52293" w:rsidRDefault="003D3E52"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sz w:val="24"/>
          <w:lang w:eastAsia="en-US"/>
        </w:rPr>
        <w:t>The Australian canola indicator price (Portland, Victoria) averaged $500 a tonne in the week ending 18 June 2012, compared with $515 a tonne in the previous week.</w:t>
      </w:r>
    </w:p>
    <w:p w:rsidR="003D3E52" w:rsidRPr="00F52293" w:rsidRDefault="003D3E52"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sz w:val="24"/>
          <w:lang w:eastAsia="en-US"/>
        </w:rPr>
        <w:t>The Queensland young cattle indicator price (330</w:t>
      </w:r>
      <w:r w:rsidRPr="00F52293">
        <w:rPr>
          <w:rFonts w:ascii="Calibri" w:hAnsi="Calibri" w:cs="Arial"/>
          <w:sz w:val="24"/>
          <w:lang w:eastAsia="en-US"/>
        </w:rPr>
        <w:softHyphen/>
        <w:t>400 kg live weight C3) rose 5 cents to 357 cents a kilogram in the week ending 15 June 2012.</w:t>
      </w:r>
    </w:p>
    <w:p w:rsidR="003D3E52" w:rsidRPr="00F52293" w:rsidRDefault="003D3E52"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sz w:val="24"/>
          <w:lang w:eastAsia="en-US"/>
        </w:rPr>
        <w:t>The Eastern Market Indicator price for wool fell 25 c</w:t>
      </w:r>
      <w:r w:rsidR="004A74A6" w:rsidRPr="00F52293">
        <w:rPr>
          <w:rFonts w:ascii="Calibri" w:hAnsi="Calibri" w:cs="Arial"/>
          <w:sz w:val="24"/>
          <w:lang w:eastAsia="en-US"/>
        </w:rPr>
        <w:t>ents in the week ending 14 June </w:t>
      </w:r>
      <w:r w:rsidRPr="00F52293">
        <w:rPr>
          <w:rFonts w:ascii="Calibri" w:hAnsi="Calibri" w:cs="Arial"/>
          <w:sz w:val="24"/>
          <w:lang w:eastAsia="en-US"/>
        </w:rPr>
        <w:t>2012 to 1054 cents a kilogram clean</w:t>
      </w:r>
      <w:r w:rsidR="0051705E" w:rsidRPr="00F52293">
        <w:rPr>
          <w:rFonts w:ascii="Calibri" w:hAnsi="Calibri" w:cs="Arial"/>
          <w:sz w:val="24"/>
          <w:lang w:eastAsia="en-US"/>
        </w:rPr>
        <w:t>.</w:t>
      </w:r>
    </w:p>
    <w:p w:rsidR="003D3E52" w:rsidRPr="00F52293" w:rsidRDefault="003D3E52"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sz w:val="24"/>
          <w:lang w:eastAsia="en-US"/>
        </w:rPr>
        <w:t>Saleyard prices of lamb rose in most states in the week ending 15 June 2012. The largest increase was in Western Australia.</w:t>
      </w:r>
    </w:p>
    <w:p w:rsidR="003D3E52" w:rsidRPr="00F52293" w:rsidRDefault="003D3E52" w:rsidP="005D02BC">
      <w:pPr>
        <w:pStyle w:val="ListBullet"/>
        <w:numPr>
          <w:ilvl w:val="0"/>
          <w:numId w:val="2"/>
        </w:numPr>
        <w:spacing w:before="80"/>
        <w:ind w:left="426" w:hanging="426"/>
        <w:rPr>
          <w:rFonts w:ascii="Calibri" w:hAnsi="Calibri" w:cs="Arial"/>
          <w:sz w:val="24"/>
          <w:lang w:eastAsia="en-US"/>
        </w:rPr>
      </w:pPr>
      <w:r w:rsidRPr="00F52293">
        <w:rPr>
          <w:rFonts w:ascii="Calibri" w:hAnsi="Calibri" w:cs="Arial"/>
          <w:sz w:val="24"/>
          <w:lang w:eastAsia="en-US"/>
        </w:rPr>
        <w:t>Australian market milk sales rose 3.3 per cent, year on year, for the first eleven months of 2011-12.</w:t>
      </w:r>
    </w:p>
    <w:p w:rsidR="003C5ACC" w:rsidRPr="007856A8" w:rsidRDefault="00F079FC" w:rsidP="007856A8">
      <w:pPr>
        <w:pStyle w:val="Heading2"/>
        <w:numPr>
          <w:ilvl w:val="0"/>
          <w:numId w:val="4"/>
        </w:numPr>
        <w:spacing w:before="0" w:after="0" w:line="276" w:lineRule="auto"/>
        <w:jc w:val="center"/>
        <w:rPr>
          <w:rFonts w:cs="Arial"/>
          <w:b/>
          <w:color w:val="auto"/>
          <w:szCs w:val="34"/>
        </w:rPr>
      </w:pPr>
      <w:r w:rsidRPr="007544CB">
        <w:rPr>
          <w:rFonts w:cs="Arial"/>
          <w:b/>
          <w:color w:val="00B0F0"/>
          <w:szCs w:val="34"/>
        </w:rPr>
        <w:br w:type="page"/>
      </w:r>
      <w:r w:rsidR="00B91946" w:rsidRPr="007856A8">
        <w:rPr>
          <w:rFonts w:cs="Arial"/>
          <w:b/>
          <w:color w:val="auto"/>
          <w:szCs w:val="34"/>
        </w:rPr>
        <w:lastRenderedPageBreak/>
        <w:t>Climate</w:t>
      </w:r>
    </w:p>
    <w:p w:rsidR="003C5ACC" w:rsidRPr="007856A8" w:rsidRDefault="00B91946" w:rsidP="002F3C41">
      <w:pPr>
        <w:pStyle w:val="Heading3"/>
        <w:numPr>
          <w:ilvl w:val="1"/>
          <w:numId w:val="4"/>
        </w:numPr>
        <w:spacing w:line="276" w:lineRule="auto"/>
        <w:ind w:left="709" w:hanging="709"/>
        <w:rPr>
          <w:rFonts w:cs="Arial"/>
          <w:color w:val="auto"/>
          <w:sz w:val="28"/>
          <w:szCs w:val="28"/>
        </w:rPr>
      </w:pPr>
      <w:r w:rsidRPr="007856A8">
        <w:rPr>
          <w:rFonts w:cs="Arial"/>
          <w:color w:val="auto"/>
          <w:sz w:val="28"/>
          <w:szCs w:val="28"/>
        </w:rPr>
        <w:t>Notable events</w:t>
      </w:r>
    </w:p>
    <w:p w:rsidR="008B62F9" w:rsidRPr="00F52293" w:rsidRDefault="00F336F1" w:rsidP="005777F9">
      <w:pPr>
        <w:pStyle w:val="ListBullet"/>
        <w:numPr>
          <w:ilvl w:val="0"/>
          <w:numId w:val="6"/>
        </w:numPr>
        <w:spacing w:before="80"/>
        <w:ind w:left="357" w:hanging="357"/>
        <w:rPr>
          <w:rFonts w:ascii="Calibri" w:hAnsi="Calibri" w:cs="Arial"/>
          <w:szCs w:val="20"/>
          <w:lang w:eastAsia="en-US"/>
        </w:rPr>
      </w:pPr>
      <w:r w:rsidRPr="00F52293">
        <w:rPr>
          <w:rFonts w:ascii="Calibri" w:hAnsi="Calibri" w:cs="Arial"/>
          <w:szCs w:val="20"/>
          <w:lang w:eastAsia="en-US"/>
        </w:rPr>
        <w:t xml:space="preserve">For the week ending 20 June 2012, most rainfall was recorded across southern Australia. </w:t>
      </w:r>
      <w:r w:rsidR="00635E43" w:rsidRPr="00F52293">
        <w:rPr>
          <w:rFonts w:ascii="Calibri" w:hAnsi="Calibri" w:cs="Arial"/>
          <w:szCs w:val="20"/>
          <w:lang w:eastAsia="en-US"/>
        </w:rPr>
        <w:t>L</w:t>
      </w:r>
      <w:r w:rsidR="00354A82" w:rsidRPr="00F52293">
        <w:rPr>
          <w:rFonts w:ascii="Calibri" w:hAnsi="Calibri" w:cs="Arial"/>
          <w:szCs w:val="20"/>
          <w:lang w:eastAsia="en-US"/>
        </w:rPr>
        <w:t xml:space="preserve">ittle </w:t>
      </w:r>
      <w:r w:rsidR="007740FB" w:rsidRPr="00F52293">
        <w:rPr>
          <w:rFonts w:ascii="Calibri" w:hAnsi="Calibri" w:cs="Arial"/>
          <w:szCs w:val="20"/>
          <w:lang w:eastAsia="en-US"/>
        </w:rPr>
        <w:t>to</w:t>
      </w:r>
      <w:r w:rsidR="00354A82" w:rsidRPr="00F52293">
        <w:rPr>
          <w:rFonts w:ascii="Calibri" w:hAnsi="Calibri" w:cs="Arial"/>
          <w:szCs w:val="20"/>
          <w:lang w:eastAsia="en-US"/>
        </w:rPr>
        <w:t xml:space="preserve"> no rainfall was recorded over most of central and </w:t>
      </w:r>
      <w:r w:rsidR="007740FB" w:rsidRPr="00F52293">
        <w:rPr>
          <w:rFonts w:ascii="Calibri" w:hAnsi="Calibri" w:cs="Arial"/>
          <w:szCs w:val="20"/>
          <w:lang w:eastAsia="en-US"/>
        </w:rPr>
        <w:t>northern</w:t>
      </w:r>
      <w:r w:rsidR="00354A82" w:rsidRPr="00F52293">
        <w:rPr>
          <w:rFonts w:ascii="Calibri" w:hAnsi="Calibri" w:cs="Arial"/>
          <w:szCs w:val="20"/>
          <w:lang w:eastAsia="en-US"/>
        </w:rPr>
        <w:t xml:space="preserve"> Australia</w:t>
      </w:r>
      <w:r w:rsidR="008B62F9" w:rsidRPr="00F52293">
        <w:rPr>
          <w:rFonts w:ascii="Calibri" w:hAnsi="Calibri" w:cs="Arial"/>
          <w:szCs w:val="20"/>
          <w:lang w:eastAsia="en-US"/>
        </w:rPr>
        <w:t>.</w:t>
      </w:r>
      <w:r w:rsidR="00F74744" w:rsidRPr="00F52293">
        <w:rPr>
          <w:rFonts w:ascii="Calibri" w:hAnsi="Calibri" w:cs="Arial"/>
          <w:szCs w:val="20"/>
          <w:lang w:eastAsia="en-US"/>
        </w:rPr>
        <w:t xml:space="preserve"> The highest measured rainfall total for the week was </w:t>
      </w:r>
      <w:r w:rsidR="00A551D5" w:rsidRPr="00F52293">
        <w:rPr>
          <w:rFonts w:ascii="Calibri" w:hAnsi="Calibri" w:cs="Arial"/>
          <w:szCs w:val="20"/>
          <w:lang w:eastAsia="en-US"/>
        </w:rPr>
        <w:t>156</w:t>
      </w:r>
      <w:r w:rsidR="00F003FE" w:rsidRPr="00F52293">
        <w:rPr>
          <w:rFonts w:ascii="Calibri" w:hAnsi="Calibri" w:cs="Arial"/>
          <w:szCs w:val="20"/>
          <w:lang w:eastAsia="en-US"/>
        </w:rPr>
        <w:t xml:space="preserve"> mm</w:t>
      </w:r>
      <w:r w:rsidR="00593EA1" w:rsidRPr="00F52293">
        <w:rPr>
          <w:rFonts w:ascii="Calibri" w:hAnsi="Calibri" w:cs="Arial"/>
          <w:szCs w:val="20"/>
          <w:lang w:eastAsia="en-US"/>
        </w:rPr>
        <w:t xml:space="preserve"> </w:t>
      </w:r>
      <w:r w:rsidR="005454D6" w:rsidRPr="00F52293">
        <w:rPr>
          <w:rFonts w:ascii="Calibri" w:hAnsi="Calibri" w:cs="Arial"/>
          <w:szCs w:val="20"/>
          <w:lang w:eastAsia="en-US"/>
        </w:rPr>
        <w:t xml:space="preserve">at </w:t>
      </w:r>
      <w:r w:rsidR="00A551D5" w:rsidRPr="00F52293">
        <w:rPr>
          <w:rFonts w:ascii="Calibri" w:hAnsi="Calibri" w:cs="Arial"/>
          <w:szCs w:val="20"/>
          <w:lang w:eastAsia="en-US"/>
        </w:rPr>
        <w:t>Mount Read</w:t>
      </w:r>
      <w:r w:rsidR="004F13CD" w:rsidRPr="00F52293">
        <w:rPr>
          <w:rFonts w:ascii="Calibri" w:hAnsi="Calibri" w:cs="Arial"/>
          <w:szCs w:val="20"/>
          <w:lang w:eastAsia="en-US"/>
        </w:rPr>
        <w:t>,</w:t>
      </w:r>
      <w:r w:rsidR="00A551D5" w:rsidRPr="00F52293">
        <w:rPr>
          <w:rFonts w:ascii="Calibri" w:hAnsi="Calibri" w:cs="Arial"/>
          <w:szCs w:val="20"/>
          <w:lang w:eastAsia="en-US"/>
        </w:rPr>
        <w:t xml:space="preserve"> in west Tasmania</w:t>
      </w:r>
      <w:r w:rsidR="00F74744" w:rsidRPr="00F52293">
        <w:rPr>
          <w:rFonts w:ascii="Calibri" w:hAnsi="Calibri" w:cs="Arial"/>
          <w:szCs w:val="20"/>
          <w:lang w:eastAsia="en-US"/>
        </w:rPr>
        <w:t>.</w:t>
      </w:r>
    </w:p>
    <w:p w:rsidR="002F18B5" w:rsidRPr="00F52293" w:rsidRDefault="002F18B5" w:rsidP="002F18B5">
      <w:pPr>
        <w:pStyle w:val="ListBullet"/>
        <w:numPr>
          <w:ilvl w:val="0"/>
          <w:numId w:val="6"/>
        </w:numPr>
        <w:spacing w:before="80"/>
        <w:ind w:left="357" w:hanging="357"/>
        <w:rPr>
          <w:rFonts w:ascii="Calibri" w:hAnsi="Calibri" w:cs="Arial"/>
          <w:bCs/>
          <w:szCs w:val="20"/>
          <w:lang w:eastAsia="en-US"/>
        </w:rPr>
      </w:pPr>
      <w:r w:rsidRPr="00F52293">
        <w:rPr>
          <w:rFonts w:ascii="Calibri" w:hAnsi="Calibri" w:cs="Arial"/>
          <w:bCs/>
          <w:szCs w:val="20"/>
          <w:lang w:eastAsia="en-US"/>
        </w:rPr>
        <w:t>The recent rainfall will benefit grain producers in parts of western Victoria and South Australia who have had a slow start to the season. Further rain is forecast across most of these areas in the coming week.</w:t>
      </w:r>
    </w:p>
    <w:p w:rsidR="009E0AEA" w:rsidRPr="00F52293" w:rsidRDefault="00054C36" w:rsidP="000D4337">
      <w:pPr>
        <w:pStyle w:val="ListBullet"/>
        <w:numPr>
          <w:ilvl w:val="0"/>
          <w:numId w:val="6"/>
        </w:numPr>
        <w:spacing w:before="80"/>
        <w:ind w:left="357" w:hanging="357"/>
        <w:rPr>
          <w:rFonts w:ascii="Calibri" w:hAnsi="Calibri" w:cs="Arial"/>
          <w:bCs/>
          <w:szCs w:val="20"/>
          <w:lang w:eastAsia="en-US"/>
        </w:rPr>
      </w:pPr>
      <w:r w:rsidRPr="00F52293">
        <w:rPr>
          <w:rFonts w:ascii="Calibri" w:hAnsi="Calibri" w:cs="Arial"/>
          <w:bCs/>
          <w:szCs w:val="20"/>
          <w:lang w:eastAsia="en-US"/>
        </w:rPr>
        <w:t>Neutral El Niño/Southern Oscillation (ENSO) conditions persist ac</w:t>
      </w:r>
      <w:r w:rsidR="00E74126" w:rsidRPr="00F52293">
        <w:rPr>
          <w:rFonts w:ascii="Calibri" w:hAnsi="Calibri" w:cs="Arial"/>
          <w:bCs/>
          <w:szCs w:val="20"/>
          <w:lang w:eastAsia="en-US"/>
        </w:rPr>
        <w:t xml:space="preserve">ross the </w:t>
      </w:r>
      <w:r w:rsidR="00FF5B9F" w:rsidRPr="00F52293">
        <w:rPr>
          <w:rFonts w:ascii="Calibri" w:hAnsi="Calibri" w:cs="Arial"/>
          <w:bCs/>
          <w:szCs w:val="20"/>
          <w:lang w:eastAsia="en-US"/>
        </w:rPr>
        <w:t>T</w:t>
      </w:r>
      <w:r w:rsidR="00E74126" w:rsidRPr="00F52293">
        <w:rPr>
          <w:rFonts w:ascii="Calibri" w:hAnsi="Calibri" w:cs="Arial"/>
          <w:bCs/>
          <w:szCs w:val="20"/>
          <w:lang w:eastAsia="en-US"/>
        </w:rPr>
        <w:t>ropical Pacific Ocean</w:t>
      </w:r>
      <w:r w:rsidR="00FF5B9F" w:rsidRPr="00F52293">
        <w:rPr>
          <w:rFonts w:ascii="Calibri" w:hAnsi="Calibri" w:cs="Arial"/>
          <w:bCs/>
          <w:szCs w:val="20"/>
          <w:lang w:eastAsia="en-US"/>
        </w:rPr>
        <w:t>,</w:t>
      </w:r>
      <w:r w:rsidR="00C94828" w:rsidRPr="00F52293">
        <w:rPr>
          <w:rFonts w:ascii="Calibri" w:hAnsi="Calibri" w:cs="Arial"/>
          <w:bCs/>
          <w:szCs w:val="20"/>
          <w:lang w:eastAsia="en-US"/>
        </w:rPr>
        <w:t xml:space="preserve"> </w:t>
      </w:r>
      <w:r w:rsidR="0097785E" w:rsidRPr="00F52293">
        <w:rPr>
          <w:rFonts w:ascii="Calibri" w:hAnsi="Calibri" w:cs="Arial"/>
          <w:bCs/>
          <w:szCs w:val="20"/>
          <w:lang w:eastAsia="en-US"/>
        </w:rPr>
        <w:t>with</w:t>
      </w:r>
      <w:r w:rsidR="00FF5B9F" w:rsidRPr="00F52293">
        <w:rPr>
          <w:rFonts w:ascii="Calibri" w:hAnsi="Calibri" w:cs="Arial"/>
          <w:bCs/>
          <w:szCs w:val="20"/>
          <w:lang w:eastAsia="en-US"/>
        </w:rPr>
        <w:t xml:space="preserve"> t</w:t>
      </w:r>
      <w:r w:rsidRPr="00F52293">
        <w:rPr>
          <w:rFonts w:ascii="Calibri" w:hAnsi="Calibri" w:cs="Arial"/>
          <w:bCs/>
          <w:szCs w:val="20"/>
          <w:lang w:eastAsia="en-US"/>
        </w:rPr>
        <w:t xml:space="preserve">he majority of climate models forecast </w:t>
      </w:r>
      <w:r w:rsidR="00E74126" w:rsidRPr="00F52293">
        <w:rPr>
          <w:rFonts w:ascii="Calibri" w:hAnsi="Calibri" w:cs="Arial"/>
          <w:bCs/>
          <w:szCs w:val="20"/>
          <w:lang w:eastAsia="en-US"/>
        </w:rPr>
        <w:t>El Nino</w:t>
      </w:r>
      <w:r w:rsidRPr="00F52293">
        <w:rPr>
          <w:rFonts w:ascii="Calibri" w:hAnsi="Calibri" w:cs="Arial"/>
          <w:bCs/>
          <w:szCs w:val="20"/>
          <w:lang w:eastAsia="en-US"/>
        </w:rPr>
        <w:t xml:space="preserve"> conditions </w:t>
      </w:r>
      <w:r w:rsidR="00E74126" w:rsidRPr="00F52293">
        <w:rPr>
          <w:rFonts w:ascii="Calibri" w:hAnsi="Calibri" w:cs="Arial"/>
          <w:bCs/>
          <w:szCs w:val="20"/>
          <w:lang w:eastAsia="en-US"/>
        </w:rPr>
        <w:t xml:space="preserve">forming before the end of winter </w:t>
      </w:r>
      <w:r w:rsidRPr="00F52293">
        <w:rPr>
          <w:rFonts w:ascii="Calibri" w:hAnsi="Calibri" w:cs="Arial"/>
          <w:bCs/>
          <w:szCs w:val="20"/>
          <w:lang w:eastAsia="en-US"/>
        </w:rPr>
        <w:t>(Bureau of Me</w:t>
      </w:r>
      <w:r w:rsidR="00E74126" w:rsidRPr="00F52293">
        <w:rPr>
          <w:rFonts w:ascii="Calibri" w:hAnsi="Calibri" w:cs="Arial"/>
          <w:bCs/>
          <w:szCs w:val="20"/>
          <w:lang w:eastAsia="en-US"/>
        </w:rPr>
        <w:t>teorology ENSO ‘Wrap-up’, 19 June</w:t>
      </w:r>
      <w:r w:rsidRPr="00F52293">
        <w:rPr>
          <w:rFonts w:ascii="Calibri" w:hAnsi="Calibri" w:cs="Arial"/>
          <w:bCs/>
          <w:szCs w:val="20"/>
          <w:lang w:eastAsia="en-US"/>
        </w:rPr>
        <w:t xml:space="preserve"> 201</w:t>
      </w:r>
      <w:r w:rsidR="00E74126" w:rsidRPr="00F52293">
        <w:rPr>
          <w:rFonts w:ascii="Calibri" w:hAnsi="Calibri" w:cs="Arial"/>
          <w:bCs/>
          <w:szCs w:val="20"/>
          <w:lang w:eastAsia="en-US"/>
        </w:rPr>
        <w:t>2</w:t>
      </w:r>
      <w:r w:rsidRPr="00F52293">
        <w:rPr>
          <w:rFonts w:ascii="Calibri" w:hAnsi="Calibri" w:cs="Arial"/>
          <w:bCs/>
          <w:szCs w:val="20"/>
          <w:lang w:eastAsia="en-US"/>
        </w:rPr>
        <w:t>).</w:t>
      </w:r>
    </w:p>
    <w:p w:rsidR="00C94828" w:rsidRPr="00F52293" w:rsidRDefault="00C94828" w:rsidP="000623E9">
      <w:pPr>
        <w:pStyle w:val="ListBullet"/>
        <w:numPr>
          <w:ilvl w:val="0"/>
          <w:numId w:val="6"/>
        </w:numPr>
        <w:spacing w:before="80"/>
        <w:ind w:left="357" w:hanging="357"/>
        <w:rPr>
          <w:rFonts w:ascii="Calibri" w:hAnsi="Calibri" w:cs="Arial"/>
          <w:szCs w:val="20"/>
          <w:lang w:eastAsia="en-US"/>
        </w:rPr>
      </w:pPr>
      <w:r w:rsidRPr="00F52293">
        <w:rPr>
          <w:rFonts w:ascii="Calibri" w:hAnsi="Calibri" w:cs="Arial"/>
          <w:szCs w:val="20"/>
          <w:lang w:eastAsia="en-US"/>
        </w:rPr>
        <w:t>Drier conditions are favoured over most of Australia, except north Queensland, between July and September 2012 (Bureau of Meteorology Natio</w:t>
      </w:r>
      <w:r w:rsidR="00A32996" w:rsidRPr="00F52293">
        <w:rPr>
          <w:rFonts w:ascii="Calibri" w:hAnsi="Calibri" w:cs="Arial"/>
          <w:szCs w:val="20"/>
          <w:lang w:eastAsia="en-US"/>
        </w:rPr>
        <w:t>nal Seasonal Rainfall Outlook, 20</w:t>
      </w:r>
      <w:r w:rsidRPr="00F52293">
        <w:rPr>
          <w:rFonts w:ascii="Calibri" w:hAnsi="Calibri" w:cs="Arial"/>
          <w:szCs w:val="20"/>
          <w:lang w:eastAsia="en-US"/>
        </w:rPr>
        <w:t xml:space="preserve"> J</w:t>
      </w:r>
      <w:r w:rsidR="00A32996" w:rsidRPr="00F52293">
        <w:rPr>
          <w:rFonts w:ascii="Calibri" w:hAnsi="Calibri" w:cs="Arial"/>
          <w:szCs w:val="20"/>
          <w:lang w:eastAsia="en-US"/>
        </w:rPr>
        <w:t>une</w:t>
      </w:r>
      <w:r w:rsidR="00FF5B9F" w:rsidRPr="00F52293">
        <w:rPr>
          <w:rFonts w:ascii="Calibri" w:hAnsi="Calibri" w:cs="Arial"/>
          <w:szCs w:val="20"/>
          <w:lang w:eastAsia="en-US"/>
        </w:rPr>
        <w:t xml:space="preserve"> 2012).</w:t>
      </w:r>
    </w:p>
    <w:p w:rsidR="00C94828" w:rsidRPr="000623E9" w:rsidRDefault="00C94828" w:rsidP="000623E9">
      <w:pPr>
        <w:pStyle w:val="ListBullet"/>
        <w:numPr>
          <w:ilvl w:val="0"/>
          <w:numId w:val="6"/>
        </w:numPr>
        <w:spacing w:before="80"/>
        <w:ind w:left="357" w:hanging="357"/>
        <w:rPr>
          <w:rFonts w:ascii="Calibri" w:hAnsi="Calibri" w:cs="Arial"/>
          <w:szCs w:val="20"/>
          <w:lang w:eastAsia="en-US"/>
        </w:rPr>
      </w:pPr>
      <w:r w:rsidRPr="00F52293">
        <w:rPr>
          <w:rFonts w:ascii="Calibri" w:hAnsi="Calibri" w:cs="Arial"/>
          <w:szCs w:val="20"/>
          <w:lang w:eastAsia="en-US"/>
        </w:rPr>
        <w:t>Warmer</w:t>
      </w:r>
      <w:r w:rsidR="00717B77" w:rsidRPr="00F52293">
        <w:rPr>
          <w:rFonts w:ascii="Calibri" w:hAnsi="Calibri" w:cs="Arial"/>
          <w:szCs w:val="20"/>
          <w:lang w:eastAsia="en-US"/>
        </w:rPr>
        <w:t xml:space="preserve"> than normal</w:t>
      </w:r>
      <w:r w:rsidRPr="00F52293">
        <w:rPr>
          <w:rFonts w:ascii="Calibri" w:hAnsi="Calibri" w:cs="Arial"/>
          <w:szCs w:val="20"/>
          <w:lang w:eastAsia="en-US"/>
        </w:rPr>
        <w:t xml:space="preserve"> daytime temperatures are </w:t>
      </w:r>
      <w:r w:rsidR="007607CD" w:rsidRPr="00F52293">
        <w:rPr>
          <w:rFonts w:ascii="Calibri" w:hAnsi="Calibri" w:cs="Arial"/>
          <w:szCs w:val="20"/>
          <w:lang w:eastAsia="en-US"/>
        </w:rPr>
        <w:t>forecast</w:t>
      </w:r>
      <w:r w:rsidRPr="000623E9">
        <w:rPr>
          <w:rFonts w:ascii="Calibri" w:hAnsi="Calibri" w:cs="Arial"/>
          <w:szCs w:val="20"/>
          <w:lang w:eastAsia="en-US"/>
        </w:rPr>
        <w:t xml:space="preserve"> </w:t>
      </w:r>
      <w:r w:rsidR="004F13CD" w:rsidRPr="000623E9">
        <w:rPr>
          <w:rFonts w:ascii="Calibri" w:hAnsi="Calibri" w:cs="Arial"/>
          <w:szCs w:val="20"/>
          <w:lang w:eastAsia="en-US"/>
        </w:rPr>
        <w:t>across the whole of the</w:t>
      </w:r>
      <w:r w:rsidRPr="000623E9">
        <w:rPr>
          <w:rFonts w:ascii="Calibri" w:hAnsi="Calibri" w:cs="Arial"/>
          <w:szCs w:val="20"/>
          <w:lang w:eastAsia="en-US"/>
        </w:rPr>
        <w:t xml:space="preserve"> Australia</w:t>
      </w:r>
      <w:r w:rsidR="004F13CD" w:rsidRPr="000623E9">
        <w:rPr>
          <w:rFonts w:ascii="Calibri" w:hAnsi="Calibri" w:cs="Arial"/>
          <w:szCs w:val="20"/>
          <w:lang w:eastAsia="en-US"/>
        </w:rPr>
        <w:t>n continent</w:t>
      </w:r>
      <w:r w:rsidRPr="000623E9">
        <w:rPr>
          <w:rFonts w:ascii="Calibri" w:hAnsi="Calibri" w:cs="Arial"/>
          <w:szCs w:val="20"/>
          <w:lang w:eastAsia="en-US"/>
        </w:rPr>
        <w:t xml:space="preserve"> between </w:t>
      </w:r>
      <w:r w:rsidR="00A32996" w:rsidRPr="000623E9">
        <w:rPr>
          <w:rFonts w:ascii="Calibri" w:hAnsi="Calibri" w:cs="Arial"/>
          <w:szCs w:val="20"/>
          <w:lang w:eastAsia="en-US"/>
        </w:rPr>
        <w:t xml:space="preserve">July </w:t>
      </w:r>
      <w:r w:rsidRPr="000623E9">
        <w:rPr>
          <w:rFonts w:ascii="Calibri" w:hAnsi="Calibri" w:cs="Arial"/>
          <w:szCs w:val="20"/>
          <w:lang w:eastAsia="en-US"/>
        </w:rPr>
        <w:t xml:space="preserve">and </w:t>
      </w:r>
      <w:r w:rsidR="00A32996" w:rsidRPr="000623E9">
        <w:rPr>
          <w:rFonts w:ascii="Calibri" w:hAnsi="Calibri" w:cs="Arial"/>
          <w:szCs w:val="20"/>
          <w:lang w:eastAsia="en-US"/>
        </w:rPr>
        <w:t>September</w:t>
      </w:r>
      <w:r w:rsidRPr="000623E9">
        <w:rPr>
          <w:rFonts w:ascii="Calibri" w:hAnsi="Calibri" w:cs="Arial"/>
          <w:szCs w:val="20"/>
          <w:lang w:eastAsia="en-US"/>
        </w:rPr>
        <w:t xml:space="preserve"> 2012,</w:t>
      </w:r>
      <w:r w:rsidR="00A32996" w:rsidRPr="000623E9">
        <w:rPr>
          <w:rFonts w:ascii="Calibri" w:hAnsi="Calibri" w:cs="Arial"/>
          <w:szCs w:val="20"/>
          <w:lang w:eastAsia="en-US"/>
        </w:rPr>
        <w:t xml:space="preserve"> with </w:t>
      </w:r>
      <w:r w:rsidR="007607CD" w:rsidRPr="000623E9">
        <w:rPr>
          <w:rFonts w:ascii="Calibri" w:hAnsi="Calibri" w:cs="Arial"/>
          <w:szCs w:val="20"/>
          <w:lang w:eastAsia="en-US"/>
        </w:rPr>
        <w:t>Western Australia likely to record the highest anomalies</w:t>
      </w:r>
      <w:r w:rsidR="00A32996" w:rsidRPr="000623E9">
        <w:rPr>
          <w:rFonts w:ascii="Calibri" w:hAnsi="Calibri" w:cs="Arial"/>
          <w:szCs w:val="20"/>
          <w:lang w:eastAsia="en-US"/>
        </w:rPr>
        <w:t xml:space="preserve">. </w:t>
      </w:r>
      <w:r w:rsidRPr="000623E9">
        <w:rPr>
          <w:rFonts w:ascii="Calibri" w:hAnsi="Calibri" w:cs="Arial"/>
          <w:szCs w:val="20"/>
          <w:lang w:eastAsia="en-US"/>
        </w:rPr>
        <w:t xml:space="preserve">Warmer night time temperatures are more likely </w:t>
      </w:r>
      <w:r w:rsidR="00A32996" w:rsidRPr="000623E9">
        <w:rPr>
          <w:rFonts w:ascii="Calibri" w:hAnsi="Calibri" w:cs="Arial"/>
          <w:szCs w:val="20"/>
          <w:lang w:eastAsia="en-US"/>
        </w:rPr>
        <w:t>in Western Australia, South Australia, Victoria, Tasmania, most of the Northern Territory</w:t>
      </w:r>
      <w:r w:rsidR="00717B77" w:rsidRPr="000623E9">
        <w:rPr>
          <w:rFonts w:ascii="Calibri" w:hAnsi="Calibri" w:cs="Arial"/>
          <w:szCs w:val="20"/>
          <w:lang w:eastAsia="en-US"/>
        </w:rPr>
        <w:t>,</w:t>
      </w:r>
      <w:r w:rsidR="00A32996" w:rsidRPr="000623E9">
        <w:rPr>
          <w:rFonts w:ascii="Calibri" w:hAnsi="Calibri" w:cs="Arial"/>
          <w:szCs w:val="20"/>
          <w:lang w:eastAsia="en-US"/>
        </w:rPr>
        <w:t xml:space="preserve"> and the south-west of New South Wales </w:t>
      </w:r>
      <w:r w:rsidRPr="000623E9">
        <w:rPr>
          <w:rFonts w:ascii="Calibri" w:hAnsi="Calibri" w:cs="Arial"/>
          <w:szCs w:val="20"/>
          <w:lang w:eastAsia="en-US"/>
        </w:rPr>
        <w:t>(Bureau of Meteorology National Seasonal Tempera</w:t>
      </w:r>
      <w:r w:rsidR="00B6138C" w:rsidRPr="000623E9">
        <w:rPr>
          <w:rFonts w:ascii="Calibri" w:hAnsi="Calibri" w:cs="Arial"/>
          <w:szCs w:val="20"/>
          <w:lang w:eastAsia="en-US"/>
        </w:rPr>
        <w:t>ture Outlook, 20</w:t>
      </w:r>
      <w:r w:rsidR="00717B77" w:rsidRPr="000623E9">
        <w:rPr>
          <w:rFonts w:ascii="Calibri" w:hAnsi="Calibri" w:cs="Arial"/>
          <w:szCs w:val="20"/>
          <w:lang w:eastAsia="en-US"/>
        </w:rPr>
        <w:t xml:space="preserve"> </w:t>
      </w:r>
      <w:r w:rsidR="007555A9" w:rsidRPr="000623E9">
        <w:rPr>
          <w:rFonts w:ascii="Calibri" w:hAnsi="Calibri" w:cs="Arial"/>
          <w:szCs w:val="20"/>
          <w:lang w:eastAsia="en-US"/>
        </w:rPr>
        <w:t>J</w:t>
      </w:r>
      <w:r w:rsidR="00B6138C" w:rsidRPr="000623E9">
        <w:rPr>
          <w:rFonts w:ascii="Calibri" w:hAnsi="Calibri" w:cs="Arial"/>
          <w:szCs w:val="20"/>
          <w:lang w:eastAsia="en-US"/>
        </w:rPr>
        <w:t>une</w:t>
      </w:r>
      <w:r w:rsidR="00717B77" w:rsidRPr="000623E9">
        <w:rPr>
          <w:rFonts w:ascii="Calibri" w:hAnsi="Calibri" w:cs="Arial"/>
          <w:szCs w:val="20"/>
          <w:lang w:eastAsia="en-US"/>
        </w:rPr>
        <w:t xml:space="preserve"> </w:t>
      </w:r>
      <w:r w:rsidR="007555A9" w:rsidRPr="000623E9">
        <w:rPr>
          <w:rFonts w:ascii="Calibri" w:hAnsi="Calibri" w:cs="Arial"/>
          <w:szCs w:val="20"/>
          <w:lang w:eastAsia="en-US"/>
        </w:rPr>
        <w:t>2012).</w:t>
      </w:r>
    </w:p>
    <w:p w:rsidR="003C5ACC" w:rsidRPr="00CC5E07" w:rsidRDefault="00B91946" w:rsidP="00AA2C34">
      <w:pPr>
        <w:pStyle w:val="Heading3"/>
        <w:numPr>
          <w:ilvl w:val="1"/>
          <w:numId w:val="4"/>
        </w:numPr>
        <w:spacing w:before="360" w:line="276" w:lineRule="auto"/>
        <w:ind w:left="709" w:hanging="709"/>
        <w:rPr>
          <w:rFonts w:cs="Arial"/>
          <w:color w:val="auto"/>
          <w:sz w:val="28"/>
          <w:szCs w:val="28"/>
        </w:rPr>
      </w:pPr>
      <w:r w:rsidRPr="00CC5E07">
        <w:rPr>
          <w:rFonts w:cs="Arial"/>
          <w:color w:val="auto"/>
          <w:sz w:val="28"/>
          <w:szCs w:val="28"/>
        </w:rPr>
        <w:t>Rainfall this week</w:t>
      </w:r>
    </w:p>
    <w:p w:rsidR="003C5ACC" w:rsidRDefault="0050675D" w:rsidP="00D95ADA">
      <w:pPr>
        <w:pStyle w:val="ListParagraph"/>
        <w:spacing w:after="0" w:line="240" w:lineRule="auto"/>
        <w:ind w:left="0"/>
        <w:rPr>
          <w:rFonts w:cs="Arial"/>
          <w:sz w:val="20"/>
          <w:szCs w:val="20"/>
        </w:rPr>
      </w:pPr>
      <w:r w:rsidRPr="009314C2">
        <w:rPr>
          <w:rFonts w:cs="Arial"/>
          <w:sz w:val="20"/>
          <w:szCs w:val="20"/>
        </w:rPr>
        <w:t xml:space="preserve">For the week ending </w:t>
      </w:r>
      <w:r w:rsidR="00BD11F9" w:rsidRPr="009314C2">
        <w:rPr>
          <w:rFonts w:cs="Arial"/>
          <w:sz w:val="20"/>
          <w:szCs w:val="20"/>
        </w:rPr>
        <w:t>20</w:t>
      </w:r>
      <w:r w:rsidR="00394BF1" w:rsidRPr="009314C2">
        <w:rPr>
          <w:rFonts w:cs="Arial"/>
          <w:sz w:val="20"/>
          <w:szCs w:val="20"/>
        </w:rPr>
        <w:t xml:space="preserve"> June</w:t>
      </w:r>
      <w:r w:rsidRPr="009314C2">
        <w:rPr>
          <w:rFonts w:cs="Arial"/>
          <w:sz w:val="20"/>
          <w:szCs w:val="20"/>
        </w:rPr>
        <w:t xml:space="preserve"> 2012, </w:t>
      </w:r>
      <w:r w:rsidR="009314C2" w:rsidRPr="009314C2">
        <w:rPr>
          <w:rFonts w:cs="Arial"/>
          <w:sz w:val="20"/>
          <w:szCs w:val="20"/>
        </w:rPr>
        <w:t xml:space="preserve">most rainfall was recorded across southern Australia. </w:t>
      </w:r>
      <w:r w:rsidR="00B6138C">
        <w:rPr>
          <w:rFonts w:cs="Arial"/>
          <w:sz w:val="20"/>
          <w:szCs w:val="20"/>
        </w:rPr>
        <w:t>F</w:t>
      </w:r>
      <w:r w:rsidR="009314C2" w:rsidRPr="009314C2">
        <w:rPr>
          <w:rFonts w:cs="Arial"/>
          <w:sz w:val="20"/>
          <w:szCs w:val="20"/>
        </w:rPr>
        <w:t xml:space="preserve">ronts produced rain in southern Western Australia, coastal South Australia, </w:t>
      </w:r>
      <w:proofErr w:type="gramStart"/>
      <w:r w:rsidR="00B6138C" w:rsidRPr="009314C2">
        <w:rPr>
          <w:rFonts w:cs="Arial"/>
          <w:sz w:val="20"/>
          <w:szCs w:val="20"/>
        </w:rPr>
        <w:t>Victoria</w:t>
      </w:r>
      <w:proofErr w:type="gramEnd"/>
      <w:r w:rsidR="009314C2" w:rsidRPr="009314C2">
        <w:rPr>
          <w:rFonts w:cs="Arial"/>
          <w:sz w:val="20"/>
          <w:szCs w:val="20"/>
        </w:rPr>
        <w:t xml:space="preserve">, Tasmania and throughout most of New South Wales. </w:t>
      </w:r>
      <w:r w:rsidRPr="009314C2">
        <w:rPr>
          <w:rFonts w:cs="Arial"/>
          <w:sz w:val="20"/>
          <w:szCs w:val="20"/>
        </w:rPr>
        <w:t>For further information</w:t>
      </w:r>
      <w:r w:rsidR="00B91946" w:rsidRPr="009314C2">
        <w:rPr>
          <w:rFonts w:cs="Arial"/>
          <w:sz w:val="20"/>
          <w:szCs w:val="20"/>
        </w:rPr>
        <w:t>, go to</w:t>
      </w:r>
      <w:r w:rsidR="00B91946" w:rsidRPr="002B134B">
        <w:rPr>
          <w:rFonts w:cs="Arial"/>
          <w:sz w:val="20"/>
          <w:szCs w:val="20"/>
        </w:rPr>
        <w:t xml:space="preserve"> </w:t>
      </w:r>
      <w:hyperlink r:id="rId10" w:history="1">
        <w:r w:rsidR="00693FD0" w:rsidRPr="00685104">
          <w:rPr>
            <w:rStyle w:val="Hyperlink"/>
            <w:rFonts w:cs="Arial"/>
            <w:sz w:val="20"/>
            <w:szCs w:val="20"/>
          </w:rPr>
          <w:t>www.bom.gov.au/climate/current/weeklyrain.shtml</w:t>
        </w:r>
      </w:hyperlink>
      <w:r w:rsidR="00B91946" w:rsidRPr="00090F54">
        <w:rPr>
          <w:rFonts w:cs="Arial"/>
          <w:sz w:val="20"/>
          <w:szCs w:val="20"/>
        </w:rPr>
        <w:t>.</w:t>
      </w:r>
    </w:p>
    <w:p w:rsidR="003C5ACC" w:rsidRPr="008E57E0" w:rsidRDefault="00B91946" w:rsidP="007F1611">
      <w:pPr>
        <w:pStyle w:val="Heading4"/>
        <w:jc w:val="center"/>
        <w:rPr>
          <w:rFonts w:ascii="Calibri" w:hAnsi="Calibri" w:cs="Arial"/>
          <w:i w:val="0"/>
          <w:color w:val="auto"/>
        </w:rPr>
      </w:pPr>
      <w:r w:rsidRPr="008E57E0">
        <w:rPr>
          <w:rFonts w:ascii="Calibri" w:hAnsi="Calibri" w:cs="Arial"/>
          <w:i w:val="0"/>
          <w:color w:val="auto"/>
        </w:rPr>
        <w:t>Rainfall for the week ending</w:t>
      </w:r>
      <w:r w:rsidR="007544CB">
        <w:rPr>
          <w:rFonts w:ascii="Calibri" w:hAnsi="Calibri" w:cs="Arial"/>
          <w:i w:val="0"/>
          <w:color w:val="auto"/>
        </w:rPr>
        <w:t xml:space="preserve"> </w:t>
      </w:r>
      <w:r w:rsidR="009314C2">
        <w:rPr>
          <w:rFonts w:ascii="Calibri" w:hAnsi="Calibri" w:cs="Arial"/>
          <w:i w:val="0"/>
          <w:color w:val="auto"/>
        </w:rPr>
        <w:t>20</w:t>
      </w:r>
      <w:r w:rsidR="00394BF1">
        <w:rPr>
          <w:rFonts w:ascii="Calibri" w:hAnsi="Calibri" w:cs="Arial"/>
          <w:i w:val="0"/>
          <w:color w:val="auto"/>
        </w:rPr>
        <w:t xml:space="preserve"> June</w:t>
      </w:r>
      <w:r w:rsidRPr="008E57E0">
        <w:rPr>
          <w:rFonts w:ascii="Calibri" w:hAnsi="Calibri" w:cs="Arial"/>
          <w:i w:val="0"/>
          <w:color w:val="auto"/>
        </w:rPr>
        <w:t xml:space="preserve"> 2012</w:t>
      </w:r>
    </w:p>
    <w:p w:rsidR="003C5ACC" w:rsidRPr="008C5D00" w:rsidRDefault="009973D0" w:rsidP="00C441BC">
      <w:pPr>
        <w:jc w:val="center"/>
        <w:rPr>
          <w:rFonts w:ascii="Calibri" w:hAnsi="Calibri"/>
          <w:noProof/>
        </w:rPr>
      </w:pPr>
      <w:r>
        <w:rPr>
          <w:noProof/>
        </w:rPr>
        <w:drawing>
          <wp:inline distT="0" distB="0" distL="0" distR="0">
            <wp:extent cx="5148565" cy="3564000"/>
            <wp:effectExtent l="19050" t="19050" r="13985" b="17400"/>
            <wp:docPr id="1" name="Picture 1" descr="Map showing rainfall for the week ending 20 June 2012. For the week ending 20 June most rainfall was recorded across southern Australia. A series of cold fronts produced rain in southern Western Australia, coastal South Australia, Victoria, Tasmania and throughout most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rainfall for the week ending 13 June 2012. Widespread falls of 50 to 100 mm were recorded across most of south west Western Australia and across parts of the New South Wales and Queensland coast. Little to no rainfall was recorded across central and north Australia."/>
                    <pic:cNvPicPr>
                      <a:picLocks noChangeAspect="1" noChangeArrowheads="1"/>
                    </pic:cNvPicPr>
                  </pic:nvPicPr>
                  <pic:blipFill>
                    <a:blip r:embed="rId11" cstate="print"/>
                    <a:stretch>
                      <a:fillRect/>
                    </a:stretch>
                  </pic:blipFill>
                  <pic:spPr bwMode="auto">
                    <a:xfrm>
                      <a:off x="0" y="0"/>
                      <a:ext cx="5148565" cy="3564000"/>
                    </a:xfrm>
                    <a:prstGeom prst="rect">
                      <a:avLst/>
                    </a:prstGeom>
                    <a:noFill/>
                    <a:ln w="9525" cmpd="sng">
                      <a:solidFill>
                        <a:schemeClr val="bg1">
                          <a:lumMod val="75000"/>
                        </a:schemeClr>
                      </a:solidFill>
                      <a:miter lim="800000"/>
                      <a:headEnd/>
                      <a:tailEnd/>
                    </a:ln>
                    <a:effectLst/>
                  </pic:spPr>
                </pic:pic>
              </a:graphicData>
            </a:graphic>
          </wp:inline>
        </w:drawing>
      </w:r>
    </w:p>
    <w:p w:rsidR="00CC3AA2" w:rsidRDefault="00CC3AA2">
      <w:pPr>
        <w:rPr>
          <w:rFonts w:ascii="Cambria" w:hAnsi="Cambria" w:cs="Arial"/>
          <w:b/>
          <w:bCs/>
          <w:sz w:val="28"/>
          <w:szCs w:val="28"/>
        </w:rPr>
      </w:pPr>
      <w:r>
        <w:rPr>
          <w:rFonts w:cs="Arial"/>
          <w:sz w:val="28"/>
          <w:szCs w:val="28"/>
        </w:rPr>
        <w:br w:type="page"/>
      </w:r>
    </w:p>
    <w:p w:rsidR="003C5ACC" w:rsidRPr="00D87D23" w:rsidRDefault="00B91946" w:rsidP="00E13B78">
      <w:pPr>
        <w:pStyle w:val="Heading3"/>
        <w:numPr>
          <w:ilvl w:val="1"/>
          <w:numId w:val="4"/>
        </w:numPr>
        <w:spacing w:line="276" w:lineRule="auto"/>
        <w:ind w:left="709" w:hanging="709"/>
        <w:rPr>
          <w:rFonts w:cs="Arial"/>
          <w:color w:val="auto"/>
          <w:sz w:val="28"/>
          <w:szCs w:val="28"/>
        </w:rPr>
      </w:pPr>
      <w:r w:rsidRPr="00D87D23">
        <w:rPr>
          <w:rFonts w:cs="Arial"/>
          <w:color w:val="auto"/>
          <w:sz w:val="28"/>
          <w:szCs w:val="28"/>
        </w:rPr>
        <w:lastRenderedPageBreak/>
        <w:t>Temperature anomalies this week</w:t>
      </w:r>
    </w:p>
    <w:p w:rsidR="003C5ACC" w:rsidRPr="00FD78D7" w:rsidRDefault="00056322">
      <w:pPr>
        <w:rPr>
          <w:rFonts w:ascii="Calibri" w:hAnsi="Calibri"/>
        </w:rPr>
      </w:pPr>
      <w:r w:rsidRPr="00EC5680">
        <w:rPr>
          <w:rFonts w:ascii="Calibri" w:hAnsi="Calibri" w:cs="Arial"/>
          <w:sz w:val="20"/>
          <w:szCs w:val="20"/>
        </w:rPr>
        <w:t>Spatial temperature analyses are based on historical weekly temperature data provided by the Bureau of Meteorology. These temperature anomaly maps show the departure of the maximum and minimum from the long-term average. Temperature anomalies are calculated using high resolution gridded datasets from 1911 onwards. For further information on temperature anomalies</w:t>
      </w:r>
      <w:r w:rsidR="00B91946" w:rsidRPr="00EC5680">
        <w:rPr>
          <w:rFonts w:ascii="Calibri" w:hAnsi="Calibri" w:cs="Arial"/>
          <w:sz w:val="20"/>
          <w:szCs w:val="20"/>
        </w:rPr>
        <w:t>, go to</w:t>
      </w:r>
      <w:r w:rsidR="00B91946" w:rsidRPr="00520B12">
        <w:rPr>
          <w:rFonts w:ascii="Calibri" w:hAnsi="Calibri" w:cs="Arial"/>
          <w:sz w:val="20"/>
          <w:szCs w:val="20"/>
        </w:rPr>
        <w:t xml:space="preserve"> </w:t>
      </w:r>
      <w:hyperlink r:id="rId12" w:history="1">
        <w:r w:rsidR="003C6C5A" w:rsidRPr="00BB5C30">
          <w:rPr>
            <w:rStyle w:val="Hyperlink"/>
            <w:rFonts w:ascii="Calibri" w:hAnsi="Calibri" w:cs="Arial"/>
            <w:sz w:val="20"/>
            <w:szCs w:val="20"/>
          </w:rPr>
          <w:t>www.bom.gov.au/jsp/awap/</w:t>
        </w:r>
      </w:hyperlink>
      <w:r w:rsidR="00B91946" w:rsidRPr="00C84845">
        <w:rPr>
          <w:rFonts w:ascii="Calibri" w:hAnsi="Calibri"/>
        </w:rPr>
        <w:t>.</w:t>
      </w:r>
    </w:p>
    <w:p w:rsidR="003C5ACC" w:rsidRPr="00D67EB2" w:rsidRDefault="00B91946">
      <w:pPr>
        <w:pStyle w:val="Heading4"/>
        <w:jc w:val="center"/>
        <w:rPr>
          <w:rFonts w:ascii="Calibri" w:hAnsi="Calibri" w:cs="Arial"/>
          <w:i w:val="0"/>
          <w:color w:val="auto"/>
        </w:rPr>
      </w:pPr>
      <w:r w:rsidRPr="00D67EB2">
        <w:rPr>
          <w:rFonts w:ascii="Calibri" w:hAnsi="Calibri" w:cs="Arial"/>
          <w:i w:val="0"/>
          <w:color w:val="auto"/>
        </w:rPr>
        <w:t xml:space="preserve">Maximum temperature anomalies for the week ending </w:t>
      </w:r>
      <w:r w:rsidR="00394BF1">
        <w:rPr>
          <w:rFonts w:ascii="Calibri" w:hAnsi="Calibri" w:cs="Arial"/>
          <w:i w:val="0"/>
          <w:color w:val="auto"/>
        </w:rPr>
        <w:t>1</w:t>
      </w:r>
      <w:r w:rsidR="009314C2">
        <w:rPr>
          <w:rFonts w:ascii="Calibri" w:hAnsi="Calibri" w:cs="Arial"/>
          <w:i w:val="0"/>
          <w:color w:val="auto"/>
        </w:rPr>
        <w:t>9</w:t>
      </w:r>
      <w:r w:rsidR="00394BF1">
        <w:rPr>
          <w:rFonts w:ascii="Calibri" w:hAnsi="Calibri" w:cs="Arial"/>
          <w:i w:val="0"/>
          <w:color w:val="auto"/>
        </w:rPr>
        <w:t xml:space="preserve"> June</w:t>
      </w:r>
      <w:r w:rsidRPr="00D67EB2">
        <w:rPr>
          <w:rFonts w:ascii="Calibri" w:hAnsi="Calibri" w:cs="Arial"/>
          <w:i w:val="0"/>
          <w:color w:val="auto"/>
        </w:rPr>
        <w:t xml:space="preserve"> 2012</w:t>
      </w:r>
    </w:p>
    <w:p w:rsidR="003C5ACC" w:rsidRPr="008C5D00" w:rsidRDefault="009973D0">
      <w:pPr>
        <w:jc w:val="center"/>
        <w:rPr>
          <w:rFonts w:ascii="Calibri" w:hAnsi="Calibri" w:cs="Arial"/>
          <w:sz w:val="18"/>
          <w:szCs w:val="18"/>
        </w:rPr>
      </w:pPr>
      <w:r>
        <w:rPr>
          <w:noProof/>
        </w:rPr>
        <w:drawing>
          <wp:inline distT="0" distB="0" distL="0" distR="0">
            <wp:extent cx="5136740" cy="3526155"/>
            <wp:effectExtent l="19050" t="19050" r="25810" b="17145"/>
            <wp:docPr id="2" name="Picture 2" descr="Map showing maximum temperature anomalies for the week ending 19 June 2012. Temperature anomalies are calculated with respect to the average over the 1961 to 1990 reference period.&#10;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maximum temperature anomalies for the week ending 12 June 2012. Image provided by the Bureau of Meteorology"/>
                    <pic:cNvPicPr>
                      <a:picLocks noChangeAspect="1" noChangeArrowheads="1"/>
                    </pic:cNvPicPr>
                  </pic:nvPicPr>
                  <pic:blipFill>
                    <a:blip r:embed="rId13" cstate="print"/>
                    <a:stretch>
                      <a:fillRect/>
                    </a:stretch>
                  </pic:blipFill>
                  <pic:spPr bwMode="auto">
                    <a:xfrm>
                      <a:off x="0" y="0"/>
                      <a:ext cx="5136740" cy="3526155"/>
                    </a:xfrm>
                    <a:prstGeom prst="rect">
                      <a:avLst/>
                    </a:prstGeom>
                    <a:noFill/>
                    <a:ln w="9525" cmpd="sng">
                      <a:solidFill>
                        <a:schemeClr val="bg1">
                          <a:lumMod val="75000"/>
                        </a:schemeClr>
                      </a:solidFill>
                      <a:miter lim="800000"/>
                      <a:headEnd/>
                      <a:tailEnd/>
                    </a:ln>
                    <a:effectLst/>
                  </pic:spPr>
                </pic:pic>
              </a:graphicData>
            </a:graphic>
          </wp:inline>
        </w:drawing>
      </w:r>
    </w:p>
    <w:p w:rsidR="003C5ACC" w:rsidRPr="00D67EB2" w:rsidRDefault="00B91946">
      <w:pPr>
        <w:pStyle w:val="Heading4"/>
        <w:jc w:val="center"/>
        <w:rPr>
          <w:rFonts w:ascii="Calibri" w:hAnsi="Calibri" w:cs="Arial"/>
          <w:i w:val="0"/>
          <w:color w:val="auto"/>
        </w:rPr>
      </w:pPr>
      <w:r w:rsidRPr="00D67EB2">
        <w:rPr>
          <w:rFonts w:ascii="Calibri" w:hAnsi="Calibri" w:cs="Arial"/>
          <w:i w:val="0"/>
          <w:color w:val="auto"/>
        </w:rPr>
        <w:t xml:space="preserve">Minimum temperature anomalies for the week ending </w:t>
      </w:r>
      <w:r w:rsidR="00394BF1">
        <w:rPr>
          <w:rFonts w:ascii="Calibri" w:hAnsi="Calibri" w:cs="Arial"/>
          <w:i w:val="0"/>
          <w:color w:val="auto"/>
        </w:rPr>
        <w:t>1</w:t>
      </w:r>
      <w:r w:rsidR="00EC5680">
        <w:rPr>
          <w:rFonts w:ascii="Calibri" w:hAnsi="Calibri" w:cs="Arial"/>
          <w:i w:val="0"/>
          <w:color w:val="auto"/>
        </w:rPr>
        <w:t>9</w:t>
      </w:r>
      <w:r w:rsidR="00394BF1">
        <w:rPr>
          <w:rFonts w:ascii="Calibri" w:hAnsi="Calibri" w:cs="Arial"/>
          <w:i w:val="0"/>
          <w:color w:val="auto"/>
        </w:rPr>
        <w:t xml:space="preserve"> June</w:t>
      </w:r>
      <w:r w:rsidRPr="00D67EB2">
        <w:rPr>
          <w:rFonts w:ascii="Calibri" w:hAnsi="Calibri" w:cs="Arial"/>
          <w:i w:val="0"/>
          <w:color w:val="auto"/>
        </w:rPr>
        <w:t xml:space="preserve"> 2012</w:t>
      </w:r>
    </w:p>
    <w:p w:rsidR="003C5ACC" w:rsidRPr="00C033EE" w:rsidRDefault="009973D0">
      <w:pPr>
        <w:jc w:val="center"/>
        <w:rPr>
          <w:rFonts w:ascii="Calibri" w:hAnsi="Calibri"/>
          <w:snapToGrid w:val="0"/>
          <w:color w:val="00B0F0"/>
          <w:w w:val="0"/>
          <w:sz w:val="0"/>
          <w:szCs w:val="0"/>
          <w:u w:color="000000"/>
          <w:bdr w:val="none" w:sz="0" w:space="0" w:color="000000"/>
          <w:shd w:val="clear" w:color="000000" w:fill="000000"/>
        </w:rPr>
      </w:pPr>
      <w:r>
        <w:rPr>
          <w:noProof/>
        </w:rPr>
        <w:drawing>
          <wp:inline distT="0" distB="0" distL="0" distR="0">
            <wp:extent cx="5136740" cy="3526155"/>
            <wp:effectExtent l="19050" t="19050" r="25810" b="17145"/>
            <wp:docPr id="3" name="Picture 3" descr="Map showing minimum temperature anomalies for the week ending 19 June 2012. Temperature anomalies are calculated with respect to the average over the 1961 to 1990 reference period.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minimum temperature anomalies for the week ending 12 June 2012. Image provided by the Bureau of Meteorology"/>
                    <pic:cNvPicPr>
                      <a:picLocks noChangeAspect="1" noChangeArrowheads="1"/>
                    </pic:cNvPicPr>
                  </pic:nvPicPr>
                  <pic:blipFill>
                    <a:blip r:embed="rId14" cstate="print"/>
                    <a:stretch>
                      <a:fillRect/>
                    </a:stretch>
                  </pic:blipFill>
                  <pic:spPr bwMode="auto">
                    <a:xfrm>
                      <a:off x="0" y="0"/>
                      <a:ext cx="5136740" cy="3526155"/>
                    </a:xfrm>
                    <a:prstGeom prst="rect">
                      <a:avLst/>
                    </a:prstGeom>
                    <a:noFill/>
                    <a:ln w="9525" cmpd="sng">
                      <a:solidFill>
                        <a:schemeClr val="bg1">
                          <a:lumMod val="75000"/>
                        </a:schemeClr>
                      </a:solidFill>
                      <a:miter lim="800000"/>
                      <a:headEnd/>
                      <a:tailEnd/>
                    </a:ln>
                    <a:effectLst/>
                  </pic:spPr>
                </pic:pic>
              </a:graphicData>
            </a:graphic>
          </wp:inline>
        </w:drawing>
      </w:r>
      <w:r w:rsidR="00B91946" w:rsidRPr="00C033EE">
        <w:rPr>
          <w:rFonts w:ascii="Calibri" w:hAnsi="Calibri"/>
          <w:color w:val="00B0F0"/>
        </w:rPr>
        <w:br w:type="page"/>
      </w:r>
    </w:p>
    <w:tbl>
      <w:tblPr>
        <w:tblW w:w="0" w:type="auto"/>
        <w:tblLook w:val="04A0"/>
      </w:tblPr>
      <w:tblGrid>
        <w:gridCol w:w="6471"/>
        <w:gridCol w:w="2771"/>
      </w:tblGrid>
      <w:tr w:rsidR="007C2271" w:rsidTr="000C7D1E">
        <w:tc>
          <w:tcPr>
            <w:tcW w:w="6471" w:type="dxa"/>
          </w:tcPr>
          <w:p w:rsidR="007C2271" w:rsidRDefault="007C2271" w:rsidP="000C7D1E">
            <w:pPr>
              <w:rPr>
                <w:noProof/>
              </w:rPr>
            </w:pPr>
          </w:p>
        </w:tc>
        <w:tc>
          <w:tcPr>
            <w:tcW w:w="2771" w:type="dxa"/>
            <w:vAlign w:val="center"/>
          </w:tcPr>
          <w:p w:rsidR="007C2271" w:rsidRDefault="007C2271" w:rsidP="00CC6EEE">
            <w:pPr>
              <w:jc w:val="center"/>
              <w:rPr>
                <w:noProof/>
              </w:rPr>
            </w:pPr>
          </w:p>
        </w:tc>
      </w:tr>
    </w:tbl>
    <w:p w:rsidR="003C5ACC" w:rsidRPr="00674FB4" w:rsidRDefault="00B91946" w:rsidP="00E13B78">
      <w:pPr>
        <w:pStyle w:val="Heading3"/>
        <w:numPr>
          <w:ilvl w:val="1"/>
          <w:numId w:val="4"/>
        </w:numPr>
        <w:spacing w:line="276" w:lineRule="auto"/>
        <w:ind w:left="709" w:hanging="709"/>
        <w:rPr>
          <w:rFonts w:cs="Arial"/>
          <w:color w:val="auto"/>
          <w:sz w:val="28"/>
          <w:szCs w:val="28"/>
        </w:rPr>
      </w:pPr>
      <w:r w:rsidRPr="00674FB4">
        <w:rPr>
          <w:rFonts w:cs="Arial"/>
          <w:color w:val="auto"/>
          <w:sz w:val="28"/>
          <w:szCs w:val="28"/>
        </w:rPr>
        <w:t>Rainfall outlook</w:t>
      </w:r>
    </w:p>
    <w:p w:rsidR="003C5ACC" w:rsidRPr="00164674" w:rsidRDefault="00B91946">
      <w:pPr>
        <w:rPr>
          <w:rFonts w:ascii="Calibri" w:hAnsi="Calibri" w:cs="Arial"/>
          <w:sz w:val="20"/>
          <w:szCs w:val="20"/>
        </w:rPr>
      </w:pPr>
      <w:r w:rsidRPr="00164674">
        <w:rPr>
          <w:rFonts w:ascii="Calibri" w:hAnsi="Calibri" w:cs="Arial"/>
          <w:sz w:val="20"/>
          <w:szCs w:val="20"/>
        </w:rPr>
        <w:t>The rainfall forecast below is produced from computer models. As it contains no input from weather forecasters, it is important to also check local forecasts and warnings by the Bureau of Meteorology.</w:t>
      </w:r>
    </w:p>
    <w:p w:rsidR="003C5ACC" w:rsidRPr="009E0AEA" w:rsidRDefault="00B91946">
      <w:pPr>
        <w:pStyle w:val="Heading4"/>
        <w:jc w:val="center"/>
        <w:rPr>
          <w:rFonts w:ascii="Calibri" w:hAnsi="Calibri" w:cs="Arial"/>
          <w:i w:val="0"/>
          <w:color w:val="auto"/>
        </w:rPr>
      </w:pPr>
      <w:r w:rsidRPr="009E0AEA">
        <w:rPr>
          <w:rFonts w:ascii="Calibri" w:hAnsi="Calibri" w:cs="Arial"/>
          <w:i w:val="0"/>
          <w:color w:val="auto"/>
        </w:rPr>
        <w:t>Total f</w:t>
      </w:r>
      <w:r w:rsidR="00E50DD2">
        <w:rPr>
          <w:rFonts w:ascii="Calibri" w:hAnsi="Calibri" w:cs="Arial"/>
          <w:i w:val="0"/>
          <w:color w:val="auto"/>
        </w:rPr>
        <w:t>orecast rainfall for the period</w:t>
      </w:r>
      <w:r w:rsidR="006A4EBC" w:rsidRPr="009E0AEA">
        <w:rPr>
          <w:rFonts w:ascii="Calibri" w:hAnsi="Calibri" w:cs="Arial"/>
          <w:i w:val="0"/>
          <w:color w:val="auto"/>
        </w:rPr>
        <w:t xml:space="preserve"> </w:t>
      </w:r>
      <w:r w:rsidR="00471F83">
        <w:rPr>
          <w:rFonts w:ascii="Calibri" w:hAnsi="Calibri" w:cs="Arial"/>
          <w:i w:val="0"/>
          <w:color w:val="auto"/>
        </w:rPr>
        <w:t>21</w:t>
      </w:r>
      <w:r w:rsidR="00BA492D" w:rsidRPr="009E0AEA">
        <w:rPr>
          <w:rFonts w:ascii="Calibri" w:hAnsi="Calibri" w:cs="Arial"/>
          <w:i w:val="0"/>
          <w:color w:val="auto"/>
        </w:rPr>
        <w:t xml:space="preserve"> </w:t>
      </w:r>
      <w:r w:rsidR="00E50DD2">
        <w:rPr>
          <w:rFonts w:ascii="Calibri" w:hAnsi="Calibri" w:cs="Arial"/>
          <w:i w:val="0"/>
          <w:color w:val="auto"/>
        </w:rPr>
        <w:t xml:space="preserve">to 28 </w:t>
      </w:r>
      <w:r w:rsidR="009E0AEA" w:rsidRPr="009E0AEA">
        <w:rPr>
          <w:rFonts w:ascii="Calibri" w:hAnsi="Calibri" w:cs="Arial"/>
          <w:i w:val="0"/>
          <w:color w:val="auto"/>
        </w:rPr>
        <w:t>June</w:t>
      </w:r>
      <w:r w:rsidRPr="009E0AEA">
        <w:rPr>
          <w:rFonts w:ascii="Calibri" w:hAnsi="Calibri" w:cs="Arial"/>
          <w:i w:val="0"/>
          <w:color w:val="auto"/>
        </w:rPr>
        <w:t xml:space="preserve"> 2012</w:t>
      </w:r>
    </w:p>
    <w:p w:rsidR="003C5ACC" w:rsidRPr="008C5D00" w:rsidRDefault="009973D0" w:rsidP="00990AD8">
      <w:pPr>
        <w:pStyle w:val="Heading2"/>
        <w:spacing w:before="0"/>
        <w:jc w:val="center"/>
        <w:rPr>
          <w:rFonts w:ascii="Calibri" w:hAnsi="Calibri" w:cs="Arial"/>
          <w:noProof/>
          <w:color w:val="auto"/>
          <w:sz w:val="18"/>
          <w:szCs w:val="18"/>
          <w:lang w:eastAsia="en-AU"/>
        </w:rPr>
      </w:pPr>
      <w:r>
        <w:rPr>
          <w:rFonts w:ascii="Arial" w:hAnsi="Arial" w:cs="Arial"/>
          <w:noProof/>
          <w:color w:val="000000"/>
          <w:sz w:val="18"/>
          <w:szCs w:val="18"/>
          <w:lang w:eastAsia="en-AU"/>
        </w:rPr>
        <w:drawing>
          <wp:inline distT="0" distB="0" distL="0" distR="0">
            <wp:extent cx="5090639" cy="3492000"/>
            <wp:effectExtent l="19050" t="19050" r="14761" b="13200"/>
            <wp:docPr id="4" name="Picture 4" descr="Map showing total forecast rainfall for the period 21 to 28 June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showing total forecast rainfall for the period 14 to 21 June 2012. Image provided by the Bureau of Meteorology."/>
                    <pic:cNvPicPr>
                      <a:picLocks noChangeAspect="1" noChangeArrowheads="1"/>
                    </pic:cNvPicPr>
                  </pic:nvPicPr>
                  <pic:blipFill>
                    <a:blip r:embed="rId15" cstate="print"/>
                    <a:stretch>
                      <a:fillRect/>
                    </a:stretch>
                  </pic:blipFill>
                  <pic:spPr bwMode="auto">
                    <a:xfrm>
                      <a:off x="0" y="0"/>
                      <a:ext cx="5090639" cy="3492000"/>
                    </a:xfrm>
                    <a:prstGeom prst="rect">
                      <a:avLst/>
                    </a:prstGeom>
                    <a:noFill/>
                    <a:ln w="9525">
                      <a:solidFill>
                        <a:schemeClr val="bg1">
                          <a:lumMod val="75000"/>
                        </a:schemeClr>
                      </a:solidFill>
                      <a:miter lim="800000"/>
                      <a:headEnd/>
                      <a:tailEnd/>
                    </a:ln>
                  </pic:spPr>
                </pic:pic>
              </a:graphicData>
            </a:graphic>
          </wp:inline>
        </w:drawing>
      </w:r>
    </w:p>
    <w:p w:rsidR="00696AF0" w:rsidRPr="007B3130" w:rsidRDefault="00696AF0" w:rsidP="00696AF0">
      <w:pPr>
        <w:pStyle w:val="Heading3"/>
        <w:numPr>
          <w:ilvl w:val="1"/>
          <w:numId w:val="4"/>
        </w:numPr>
        <w:spacing w:line="276" w:lineRule="auto"/>
        <w:ind w:left="709" w:hanging="709"/>
        <w:rPr>
          <w:rFonts w:cs="Arial"/>
          <w:color w:val="auto"/>
          <w:sz w:val="28"/>
          <w:szCs w:val="28"/>
        </w:rPr>
      </w:pPr>
      <w:r w:rsidRPr="007B3130">
        <w:rPr>
          <w:rFonts w:cs="Arial"/>
          <w:color w:val="auto"/>
          <w:sz w:val="28"/>
          <w:szCs w:val="28"/>
        </w:rPr>
        <w:t xml:space="preserve">Seasonal outlook </w:t>
      </w:r>
    </w:p>
    <w:p w:rsidR="00696AF0" w:rsidRPr="00A45DAB" w:rsidRDefault="00696AF0" w:rsidP="00696AF0">
      <w:pPr>
        <w:pStyle w:val="NoSpacing"/>
        <w:jc w:val="center"/>
        <w:rPr>
          <w:rFonts w:eastAsia="Times New Roman" w:cs="Arial"/>
          <w:b/>
          <w:bCs/>
          <w:iCs/>
          <w:sz w:val="24"/>
          <w:szCs w:val="24"/>
        </w:rPr>
      </w:pPr>
      <w:r w:rsidRPr="00A45DAB">
        <w:rPr>
          <w:rFonts w:eastAsia="Times New Roman" w:cs="Arial"/>
          <w:b/>
          <w:bCs/>
          <w:iCs/>
          <w:sz w:val="24"/>
          <w:szCs w:val="24"/>
        </w:rPr>
        <w:t>Chance of excee</w:t>
      </w:r>
      <w:r>
        <w:rPr>
          <w:rFonts w:eastAsia="Times New Roman" w:cs="Arial"/>
          <w:b/>
          <w:bCs/>
          <w:iCs/>
          <w:sz w:val="24"/>
          <w:szCs w:val="24"/>
        </w:rPr>
        <w:t>ding the median rainfall – July</w:t>
      </w:r>
      <w:r w:rsidRPr="00A45DAB">
        <w:rPr>
          <w:rFonts w:eastAsia="Times New Roman" w:cs="Arial"/>
          <w:b/>
          <w:bCs/>
          <w:iCs/>
          <w:sz w:val="24"/>
          <w:szCs w:val="24"/>
        </w:rPr>
        <w:t xml:space="preserve"> to </w:t>
      </w:r>
      <w:r>
        <w:rPr>
          <w:rFonts w:eastAsia="Times New Roman" w:cs="Arial"/>
          <w:b/>
          <w:bCs/>
          <w:iCs/>
          <w:sz w:val="24"/>
          <w:szCs w:val="24"/>
        </w:rPr>
        <w:t>September</w:t>
      </w:r>
      <w:r w:rsidRPr="00A45DAB">
        <w:rPr>
          <w:rFonts w:eastAsia="Times New Roman" w:cs="Arial"/>
          <w:b/>
          <w:bCs/>
          <w:iCs/>
          <w:sz w:val="24"/>
          <w:szCs w:val="24"/>
        </w:rPr>
        <w:t xml:space="preserve"> 2012</w:t>
      </w:r>
    </w:p>
    <w:p w:rsidR="00696AF0" w:rsidRPr="00A45DAB" w:rsidRDefault="00696AF0" w:rsidP="00696AF0">
      <w:pPr>
        <w:pStyle w:val="NoSpacing"/>
        <w:spacing w:before="120" w:after="240"/>
        <w:jc w:val="center"/>
        <w:rPr>
          <w:rFonts w:ascii="Arial" w:hAnsi="Arial" w:cs="Arial"/>
          <w:b/>
          <w:sz w:val="28"/>
          <w:szCs w:val="28"/>
        </w:rPr>
      </w:pPr>
      <w:r w:rsidRPr="00A45DAB">
        <w:rPr>
          <w:noProof/>
          <w:lang w:eastAsia="en-AU"/>
        </w:rPr>
        <w:drawing>
          <wp:inline distT="0" distB="0" distL="0" distR="0">
            <wp:extent cx="5085563" cy="3492000"/>
            <wp:effectExtent l="19050" t="19050" r="19837" b="13200"/>
            <wp:docPr id="29" name="Picture 29" descr="Image showing chance of exceeding the median rainfall during July to September 2012. Drier than normal conditions are forecast over practically all of Western Australia, Northern Territory, South Australia, Victoria, New South Wales, and the south of Queensland for the next three months, while wetter conditions are forecast for north Queensland.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om.gov.au/climate/ahead/maps/rain.national.hrweb.gif?20120321"/>
                    <pic:cNvPicPr>
                      <a:picLocks noChangeAspect="1" noChangeArrowheads="1"/>
                    </pic:cNvPicPr>
                  </pic:nvPicPr>
                  <pic:blipFill>
                    <a:blip r:embed="rId16" cstate="print"/>
                    <a:stretch>
                      <a:fillRect/>
                    </a:stretch>
                  </pic:blipFill>
                  <pic:spPr bwMode="auto">
                    <a:xfrm>
                      <a:off x="0" y="0"/>
                      <a:ext cx="5085563" cy="3492000"/>
                    </a:xfrm>
                    <a:prstGeom prst="rect">
                      <a:avLst/>
                    </a:prstGeom>
                    <a:noFill/>
                    <a:ln w="9525">
                      <a:solidFill>
                        <a:schemeClr val="bg1">
                          <a:lumMod val="75000"/>
                        </a:schemeClr>
                      </a:solidFill>
                      <a:miter lim="800000"/>
                      <a:headEnd/>
                      <a:tailEnd/>
                    </a:ln>
                  </pic:spPr>
                </pic:pic>
              </a:graphicData>
            </a:graphic>
          </wp:inline>
        </w:drawing>
      </w:r>
    </w:p>
    <w:p w:rsidR="00696AF0" w:rsidRPr="00A45DAB" w:rsidRDefault="00696AF0" w:rsidP="00696AF0">
      <w:pPr>
        <w:pStyle w:val="NoSpacing"/>
        <w:jc w:val="center"/>
        <w:rPr>
          <w:rFonts w:eastAsia="Times New Roman" w:cs="Arial"/>
          <w:b/>
          <w:bCs/>
          <w:iCs/>
          <w:sz w:val="24"/>
          <w:szCs w:val="24"/>
        </w:rPr>
      </w:pPr>
      <w:r w:rsidRPr="00A45DAB">
        <w:rPr>
          <w:rFonts w:eastAsia="Times New Roman" w:cs="Arial"/>
          <w:b/>
          <w:bCs/>
          <w:iCs/>
          <w:sz w:val="24"/>
          <w:szCs w:val="24"/>
        </w:rPr>
        <w:lastRenderedPageBreak/>
        <w:t>Chance of exceeding the median maximum temperatu</w:t>
      </w:r>
      <w:r>
        <w:rPr>
          <w:rFonts w:eastAsia="Times New Roman" w:cs="Arial"/>
          <w:b/>
          <w:bCs/>
          <w:iCs/>
          <w:sz w:val="24"/>
          <w:szCs w:val="24"/>
        </w:rPr>
        <w:t>re – July</w:t>
      </w:r>
      <w:r w:rsidRPr="00A45DAB">
        <w:rPr>
          <w:rFonts w:eastAsia="Times New Roman" w:cs="Arial"/>
          <w:b/>
          <w:bCs/>
          <w:iCs/>
          <w:sz w:val="24"/>
          <w:szCs w:val="24"/>
        </w:rPr>
        <w:t xml:space="preserve"> to </w:t>
      </w:r>
      <w:r>
        <w:rPr>
          <w:rFonts w:eastAsia="Times New Roman" w:cs="Arial"/>
          <w:b/>
          <w:bCs/>
          <w:iCs/>
          <w:sz w:val="24"/>
          <w:szCs w:val="24"/>
        </w:rPr>
        <w:t>September</w:t>
      </w:r>
      <w:r w:rsidRPr="00A45DAB">
        <w:rPr>
          <w:rFonts w:eastAsia="Times New Roman" w:cs="Arial"/>
          <w:b/>
          <w:bCs/>
          <w:iCs/>
          <w:sz w:val="24"/>
          <w:szCs w:val="24"/>
        </w:rPr>
        <w:t xml:space="preserve"> 2012</w:t>
      </w:r>
    </w:p>
    <w:p w:rsidR="00696AF0" w:rsidRPr="00D2349F" w:rsidRDefault="00696AF0" w:rsidP="00D2349F">
      <w:pPr>
        <w:pStyle w:val="Heading4"/>
        <w:spacing w:before="120"/>
        <w:jc w:val="center"/>
        <w:rPr>
          <w:i w:val="0"/>
          <w:color w:val="auto"/>
        </w:rPr>
      </w:pPr>
      <w:r w:rsidRPr="00A45DAB">
        <w:rPr>
          <w:noProof/>
        </w:rPr>
        <w:drawing>
          <wp:inline distT="0" distB="0" distL="0" distR="0">
            <wp:extent cx="5189501" cy="3564000"/>
            <wp:effectExtent l="19050" t="19050" r="11149" b="17400"/>
            <wp:docPr id="23" name="Picture 23" descr="Image showing chance of exceeding the median maximum temperature during July to September 2012. Warmer than normal day time temperatures are forecast over all of Australia, with the highest anomalies forecast for Western Australia.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om.gov.au/climate/ahead/maps/max.national.hrweb.gif?20120321"/>
                    <pic:cNvPicPr>
                      <a:picLocks noChangeAspect="1" noChangeArrowheads="1"/>
                    </pic:cNvPicPr>
                  </pic:nvPicPr>
                  <pic:blipFill>
                    <a:blip r:embed="rId17" cstate="print"/>
                    <a:stretch>
                      <a:fillRect/>
                    </a:stretch>
                  </pic:blipFill>
                  <pic:spPr bwMode="auto">
                    <a:xfrm>
                      <a:off x="0" y="0"/>
                      <a:ext cx="5189501" cy="3564000"/>
                    </a:xfrm>
                    <a:prstGeom prst="rect">
                      <a:avLst/>
                    </a:prstGeom>
                    <a:noFill/>
                    <a:ln w="9525">
                      <a:solidFill>
                        <a:schemeClr val="bg1">
                          <a:lumMod val="75000"/>
                        </a:schemeClr>
                      </a:solidFill>
                      <a:miter lim="800000"/>
                      <a:headEnd/>
                      <a:tailEnd/>
                    </a:ln>
                  </pic:spPr>
                </pic:pic>
              </a:graphicData>
            </a:graphic>
          </wp:inline>
        </w:drawing>
      </w:r>
    </w:p>
    <w:p w:rsidR="00696AF0" w:rsidRPr="00A45DAB" w:rsidRDefault="00696AF0" w:rsidP="00D2349F">
      <w:pPr>
        <w:pStyle w:val="NoSpacing"/>
        <w:spacing w:before="360"/>
        <w:jc w:val="center"/>
        <w:rPr>
          <w:rFonts w:eastAsia="Times New Roman" w:cs="Arial"/>
          <w:b/>
          <w:bCs/>
          <w:iCs/>
          <w:sz w:val="24"/>
          <w:szCs w:val="24"/>
        </w:rPr>
      </w:pPr>
      <w:r w:rsidRPr="00A45DAB">
        <w:rPr>
          <w:rFonts w:eastAsia="Times New Roman" w:cs="Arial"/>
          <w:b/>
          <w:bCs/>
          <w:iCs/>
          <w:sz w:val="24"/>
          <w:szCs w:val="24"/>
        </w:rPr>
        <w:t>Chance of exceeding the median minimum temperature – Ju</w:t>
      </w:r>
      <w:r>
        <w:rPr>
          <w:rFonts w:eastAsia="Times New Roman" w:cs="Arial"/>
          <w:b/>
          <w:bCs/>
          <w:iCs/>
          <w:sz w:val="24"/>
          <w:szCs w:val="24"/>
        </w:rPr>
        <w:t>ly</w:t>
      </w:r>
      <w:r w:rsidRPr="00A45DAB">
        <w:rPr>
          <w:rFonts w:eastAsia="Times New Roman" w:cs="Arial"/>
          <w:b/>
          <w:bCs/>
          <w:iCs/>
          <w:sz w:val="24"/>
          <w:szCs w:val="24"/>
        </w:rPr>
        <w:t xml:space="preserve"> to </w:t>
      </w:r>
      <w:r>
        <w:rPr>
          <w:rFonts w:eastAsia="Times New Roman" w:cs="Arial"/>
          <w:b/>
          <w:bCs/>
          <w:iCs/>
          <w:sz w:val="24"/>
          <w:szCs w:val="24"/>
        </w:rPr>
        <w:t>September</w:t>
      </w:r>
      <w:r w:rsidRPr="00A45DAB">
        <w:rPr>
          <w:rFonts w:eastAsia="Times New Roman" w:cs="Arial"/>
          <w:b/>
          <w:bCs/>
          <w:iCs/>
          <w:sz w:val="24"/>
          <w:szCs w:val="24"/>
        </w:rPr>
        <w:t xml:space="preserve"> 2012</w:t>
      </w:r>
    </w:p>
    <w:p w:rsidR="00696AF0" w:rsidRPr="00251F96" w:rsidRDefault="00696AF0" w:rsidP="00696AF0">
      <w:pPr>
        <w:spacing w:before="120"/>
        <w:jc w:val="center"/>
      </w:pPr>
      <w:r w:rsidRPr="00A45DAB">
        <w:rPr>
          <w:noProof/>
        </w:rPr>
        <w:drawing>
          <wp:inline distT="0" distB="0" distL="0" distR="0">
            <wp:extent cx="5208437" cy="3564000"/>
            <wp:effectExtent l="19050" t="19050" r="11263" b="17400"/>
            <wp:docPr id="24" name="Picture 26" descr="Image showing chance of exceeding the median minimum temperature during July to September 2012.Warmer than normal night time temperatures are forecast for most of South Australia, Victoria, Western Australia and the Northern Territory. Cooler than normal night time temp[eratures are forecast for north-east New South Wales and for most of Queensland.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om.gov.au/climate/ahead/maps/min.national.hrweb.gif?20120321"/>
                    <pic:cNvPicPr>
                      <a:picLocks noChangeAspect="1" noChangeArrowheads="1"/>
                    </pic:cNvPicPr>
                  </pic:nvPicPr>
                  <pic:blipFill>
                    <a:blip r:embed="rId18" cstate="print"/>
                    <a:stretch>
                      <a:fillRect/>
                    </a:stretch>
                  </pic:blipFill>
                  <pic:spPr bwMode="auto">
                    <a:xfrm>
                      <a:off x="0" y="0"/>
                      <a:ext cx="5208437" cy="3564000"/>
                    </a:xfrm>
                    <a:prstGeom prst="rect">
                      <a:avLst/>
                    </a:prstGeom>
                    <a:noFill/>
                    <a:ln w="9525">
                      <a:solidFill>
                        <a:schemeClr val="bg1">
                          <a:lumMod val="75000"/>
                        </a:schemeClr>
                      </a:solidFill>
                      <a:miter lim="800000"/>
                      <a:headEnd/>
                      <a:tailEnd/>
                    </a:ln>
                  </pic:spPr>
                </pic:pic>
              </a:graphicData>
            </a:graphic>
          </wp:inline>
        </w:drawing>
      </w:r>
    </w:p>
    <w:p w:rsidR="00B925D9" w:rsidRPr="00674FB4" w:rsidRDefault="00696AF0" w:rsidP="00696AF0">
      <w:pPr>
        <w:pStyle w:val="Heading2"/>
        <w:numPr>
          <w:ilvl w:val="0"/>
          <w:numId w:val="4"/>
        </w:numPr>
        <w:spacing w:before="0" w:after="0" w:line="276" w:lineRule="auto"/>
        <w:jc w:val="center"/>
        <w:rPr>
          <w:rFonts w:cs="Arial"/>
          <w:b/>
          <w:color w:val="auto"/>
          <w:szCs w:val="34"/>
        </w:rPr>
      </w:pPr>
      <w:r w:rsidRPr="00520B12">
        <w:rPr>
          <w:color w:val="0070C0"/>
        </w:rPr>
        <w:br w:type="page"/>
      </w:r>
      <w:r w:rsidR="00B91946" w:rsidRPr="00674FB4">
        <w:rPr>
          <w:rFonts w:cs="Arial"/>
          <w:b/>
          <w:color w:val="auto"/>
          <w:szCs w:val="34"/>
        </w:rPr>
        <w:lastRenderedPageBreak/>
        <w:t>Water</w:t>
      </w:r>
    </w:p>
    <w:p w:rsidR="005C0858" w:rsidRPr="00674FB4" w:rsidRDefault="00AE1A79" w:rsidP="005C0858">
      <w:pPr>
        <w:pStyle w:val="Heading3"/>
        <w:numPr>
          <w:ilvl w:val="1"/>
          <w:numId w:val="4"/>
        </w:numPr>
        <w:spacing w:line="276" w:lineRule="auto"/>
        <w:ind w:left="709" w:hanging="709"/>
        <w:rPr>
          <w:rFonts w:cs="Arial"/>
          <w:color w:val="auto"/>
          <w:sz w:val="28"/>
          <w:szCs w:val="28"/>
        </w:rPr>
      </w:pPr>
      <w:r w:rsidRPr="00674FB4">
        <w:rPr>
          <w:rFonts w:cs="Arial"/>
          <w:color w:val="auto"/>
          <w:sz w:val="28"/>
          <w:szCs w:val="28"/>
        </w:rPr>
        <w:t>Water availability</w:t>
      </w:r>
    </w:p>
    <w:p w:rsidR="00D17351" w:rsidRPr="00D17351" w:rsidRDefault="00D17351" w:rsidP="00D17351">
      <w:pPr>
        <w:pStyle w:val="ListBullet"/>
        <w:numPr>
          <w:ilvl w:val="0"/>
          <w:numId w:val="9"/>
        </w:numPr>
        <w:spacing w:before="100"/>
        <w:rPr>
          <w:rFonts w:ascii="Calibri" w:hAnsi="Calibri" w:cs="Calibri"/>
          <w:szCs w:val="20"/>
        </w:rPr>
      </w:pPr>
      <w:r w:rsidRPr="00D17351">
        <w:rPr>
          <w:rFonts w:ascii="Calibri" w:hAnsi="Calibri" w:cs="Calibri"/>
          <w:szCs w:val="20"/>
        </w:rPr>
        <w:t>Water storage levels in the Murray–Darling Basin (MDB) increased this week by 108 </w:t>
      </w:r>
      <w:proofErr w:type="spellStart"/>
      <w:r w:rsidRPr="00D17351">
        <w:rPr>
          <w:rFonts w:ascii="Calibri" w:hAnsi="Calibri" w:cs="Calibri"/>
          <w:szCs w:val="20"/>
        </w:rPr>
        <w:t>gigalitres</w:t>
      </w:r>
      <w:proofErr w:type="spellEnd"/>
      <w:r w:rsidRPr="00D17351">
        <w:rPr>
          <w:rFonts w:ascii="Calibri" w:hAnsi="Calibri" w:cs="Calibri"/>
          <w:szCs w:val="20"/>
        </w:rPr>
        <w:t> (GL) to remain approximately 91 per cent of total capacity. This is 9 percentage points or 2077 GL more than this time last year.</w:t>
      </w:r>
    </w:p>
    <w:p w:rsidR="00D17351" w:rsidRPr="00D17351" w:rsidRDefault="00D17351" w:rsidP="00D17351">
      <w:pPr>
        <w:pStyle w:val="Heading4"/>
        <w:ind w:left="360"/>
        <w:jc w:val="center"/>
        <w:rPr>
          <w:rFonts w:ascii="Calibri" w:hAnsi="Calibri" w:cs="Calibri"/>
          <w:i w:val="0"/>
          <w:color w:val="auto"/>
        </w:rPr>
      </w:pPr>
      <w:r w:rsidRPr="00D17351">
        <w:rPr>
          <w:rFonts w:ascii="Calibri" w:hAnsi="Calibri" w:cs="Calibri"/>
          <w:i w:val="0"/>
          <w:color w:val="auto"/>
        </w:rPr>
        <w:t>Water storages in the Murray–Darling Basin (NSW, Victoria and Queensland)</w:t>
      </w:r>
    </w:p>
    <w:p w:rsidR="00D17351" w:rsidRDefault="00D17351" w:rsidP="00D17351">
      <w:pPr>
        <w:rPr>
          <w:rFonts w:ascii="Arial" w:hAnsi="Arial" w:cs="Arial"/>
          <w:sz w:val="20"/>
          <w:szCs w:val="20"/>
        </w:rPr>
      </w:pPr>
      <w:r>
        <w:rPr>
          <w:rFonts w:ascii="Arial" w:hAnsi="Arial" w:cs="Arial"/>
          <w:noProof/>
          <w:sz w:val="20"/>
          <w:szCs w:val="20"/>
        </w:rPr>
        <w:drawing>
          <wp:inline distT="0" distB="0" distL="0" distR="0">
            <wp:extent cx="6380554" cy="3888000"/>
            <wp:effectExtent l="19050" t="0" r="1196" b="0"/>
            <wp:docPr id="54" name="Picture 1" descr="Line graph showing water storages in the Murray–Darling Basin (NSW, Victoria and Queensland). Water storage levels increased this week by 108 gigalitres to remain at approximately 91 per cent of total capacity. This is 9 percentage point or 2077 gigalitres more than this tim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reauWide\Collaborative\_Projects\ClimateWaterAgUpdate\Water_Storage\MDB_20120621.png"/>
                    <pic:cNvPicPr>
                      <a:picLocks noChangeAspect="1" noChangeArrowheads="1"/>
                    </pic:cNvPicPr>
                  </pic:nvPicPr>
                  <pic:blipFill>
                    <a:blip r:embed="rId19" cstate="print"/>
                    <a:srcRect/>
                    <a:stretch>
                      <a:fillRect/>
                    </a:stretch>
                  </pic:blipFill>
                  <pic:spPr bwMode="auto">
                    <a:xfrm>
                      <a:off x="0" y="0"/>
                      <a:ext cx="6380554" cy="3888000"/>
                    </a:xfrm>
                    <a:prstGeom prst="rect">
                      <a:avLst/>
                    </a:prstGeom>
                    <a:noFill/>
                    <a:ln w="9525">
                      <a:noFill/>
                      <a:miter lim="800000"/>
                      <a:headEnd/>
                      <a:tailEnd/>
                    </a:ln>
                  </pic:spPr>
                </pic:pic>
              </a:graphicData>
            </a:graphic>
          </wp:inline>
        </w:drawing>
      </w:r>
    </w:p>
    <w:p w:rsidR="00D17351" w:rsidRPr="00D17351" w:rsidRDefault="00D17351" w:rsidP="00D17351">
      <w:pPr>
        <w:ind w:left="360"/>
        <w:rPr>
          <w:rFonts w:ascii="Calibri" w:hAnsi="Calibri" w:cs="Arial"/>
          <w:bCs/>
          <w:sz w:val="20"/>
          <w:szCs w:val="20"/>
          <w:lang w:eastAsia="en-US"/>
        </w:rPr>
      </w:pPr>
      <w:r w:rsidRPr="00D17351">
        <w:rPr>
          <w:rFonts w:ascii="Calibri" w:hAnsi="Calibri" w:cs="Arial"/>
          <w:bCs/>
          <w:sz w:val="20"/>
          <w:szCs w:val="20"/>
          <w:lang w:eastAsia="en-US"/>
        </w:rPr>
        <w:t>Information on irrigation water available in the Murray–Darling Basin from 1 January 2001 to 21 June 2012 is shown above. The top horizontal (red) line indicates the storage level at the similar time last year. The bottom horizontal (orange) line indicates the amount of ‘dead’ or unusable storage.</w:t>
      </w:r>
    </w:p>
    <w:p w:rsidR="005D22E6" w:rsidRPr="00674FB4" w:rsidRDefault="007E3A44" w:rsidP="001200AD">
      <w:pPr>
        <w:pStyle w:val="Heading2"/>
        <w:numPr>
          <w:ilvl w:val="0"/>
          <w:numId w:val="4"/>
        </w:numPr>
        <w:spacing w:before="0" w:after="0" w:line="276" w:lineRule="auto"/>
        <w:jc w:val="center"/>
        <w:rPr>
          <w:rFonts w:cs="Arial"/>
          <w:b/>
          <w:color w:val="auto"/>
          <w:szCs w:val="34"/>
        </w:rPr>
      </w:pPr>
      <w:r>
        <w:rPr>
          <w:rFonts w:cs="Arial"/>
          <w:b/>
          <w:szCs w:val="34"/>
        </w:rPr>
        <w:br w:type="page"/>
      </w:r>
      <w:r w:rsidR="00763F5E" w:rsidRPr="00674FB4">
        <w:rPr>
          <w:rFonts w:cs="Arial"/>
          <w:b/>
          <w:color w:val="auto"/>
          <w:szCs w:val="34"/>
        </w:rPr>
        <w:lastRenderedPageBreak/>
        <w:t>Commodities</w:t>
      </w:r>
    </w:p>
    <w:p w:rsidR="003C5ACC" w:rsidRPr="00674FB4" w:rsidRDefault="00B91946" w:rsidP="002F3C41">
      <w:pPr>
        <w:pStyle w:val="Heading3"/>
        <w:numPr>
          <w:ilvl w:val="1"/>
          <w:numId w:val="4"/>
        </w:numPr>
        <w:spacing w:line="276" w:lineRule="auto"/>
        <w:ind w:left="709" w:hanging="709"/>
        <w:rPr>
          <w:rFonts w:cs="Arial"/>
          <w:color w:val="auto"/>
          <w:sz w:val="28"/>
          <w:szCs w:val="28"/>
        </w:rPr>
      </w:pPr>
      <w:r w:rsidRPr="00674FB4">
        <w:rPr>
          <w:rFonts w:cs="Arial"/>
          <w:color w:val="auto"/>
          <w:sz w:val="28"/>
          <w:szCs w:val="28"/>
        </w:rPr>
        <w:t>Production and commodities</w:t>
      </w:r>
    </w:p>
    <w:p w:rsidR="0035434C" w:rsidRPr="0035434C" w:rsidRDefault="0035434C" w:rsidP="0035434C">
      <w:pPr>
        <w:pStyle w:val="ListParagraph"/>
        <w:numPr>
          <w:ilvl w:val="0"/>
          <w:numId w:val="8"/>
        </w:numPr>
        <w:spacing w:before="120" w:after="120" w:line="240" w:lineRule="auto"/>
        <w:ind w:left="357" w:hanging="357"/>
        <w:contextualSpacing w:val="0"/>
        <w:rPr>
          <w:rFonts w:cs="Calibri"/>
          <w:sz w:val="20"/>
          <w:szCs w:val="20"/>
        </w:rPr>
      </w:pPr>
      <w:r w:rsidRPr="00216BF3">
        <w:rPr>
          <w:rFonts w:cs="Calibri"/>
          <w:sz w:val="20"/>
          <w:szCs w:val="20"/>
        </w:rPr>
        <w:t>Fruit wholesale prices were generally lower or unchanged in the week ending 16 June 2012. However, banana (</w:t>
      </w:r>
      <w:proofErr w:type="spellStart"/>
      <w:proofErr w:type="gramStart"/>
      <w:r w:rsidRPr="00216BF3">
        <w:rPr>
          <w:rFonts w:cs="Calibri"/>
          <w:sz w:val="20"/>
          <w:szCs w:val="20"/>
        </w:rPr>
        <w:t>cavendish</w:t>
      </w:r>
      <w:proofErr w:type="spellEnd"/>
      <w:proofErr w:type="gramEnd"/>
      <w:r w:rsidRPr="00216BF3">
        <w:rPr>
          <w:rFonts w:cs="Calibri"/>
          <w:sz w:val="20"/>
          <w:szCs w:val="20"/>
        </w:rPr>
        <w:t>) wholesale prices were significantly higher than the previous week. Most fruit prices are lower than at the same time in 2011, pineapple (</w:t>
      </w:r>
      <w:proofErr w:type="spellStart"/>
      <w:r w:rsidRPr="00216BF3">
        <w:rPr>
          <w:rFonts w:cs="Calibri"/>
          <w:sz w:val="20"/>
          <w:szCs w:val="20"/>
        </w:rPr>
        <w:t>smoothleaf</w:t>
      </w:r>
      <w:proofErr w:type="spellEnd"/>
      <w:r w:rsidRPr="00216BF3">
        <w:rPr>
          <w:rFonts w:cs="Calibri"/>
          <w:sz w:val="20"/>
          <w:szCs w:val="20"/>
        </w:rPr>
        <w:t xml:space="preserve">), orange (navel) </w:t>
      </w:r>
      <w:r w:rsidR="00032824">
        <w:rPr>
          <w:rFonts w:cs="Calibri"/>
          <w:sz w:val="20"/>
          <w:szCs w:val="20"/>
        </w:rPr>
        <w:t xml:space="preserve">and </w:t>
      </w:r>
      <w:r w:rsidRPr="00216BF3">
        <w:rPr>
          <w:rFonts w:cs="Calibri"/>
          <w:sz w:val="20"/>
          <w:szCs w:val="20"/>
        </w:rPr>
        <w:t xml:space="preserve">lemon (eureka) are the main exceptions (Figure </w:t>
      </w:r>
      <w:r w:rsidR="0014629A">
        <w:rPr>
          <w:rFonts w:cs="Calibri"/>
          <w:sz w:val="20"/>
          <w:szCs w:val="20"/>
        </w:rPr>
        <w:t>A</w:t>
      </w:r>
      <w:r w:rsidRPr="00216BF3">
        <w:rPr>
          <w:rFonts w:cs="Calibri"/>
          <w:sz w:val="20"/>
          <w:szCs w:val="20"/>
        </w:rPr>
        <w:t>).</w:t>
      </w:r>
    </w:p>
    <w:p w:rsidR="0035434C" w:rsidRPr="00F72F60" w:rsidRDefault="0035434C" w:rsidP="0035434C">
      <w:pPr>
        <w:pStyle w:val="ListParagraph"/>
        <w:numPr>
          <w:ilvl w:val="0"/>
          <w:numId w:val="8"/>
        </w:numPr>
        <w:spacing w:before="120" w:after="120" w:line="240" w:lineRule="auto"/>
        <w:ind w:left="357" w:hanging="357"/>
        <w:contextualSpacing w:val="0"/>
        <w:rPr>
          <w:rFonts w:cs="Calibri"/>
          <w:sz w:val="20"/>
          <w:szCs w:val="20"/>
        </w:rPr>
      </w:pPr>
      <w:r w:rsidRPr="00216BF3">
        <w:rPr>
          <w:rFonts w:cs="Calibri"/>
          <w:sz w:val="20"/>
          <w:szCs w:val="20"/>
        </w:rPr>
        <w:t xml:space="preserve">Vegetable wholesale prices were generally lower in the week ending 16 June 2012, with significant </w:t>
      </w:r>
      <w:r w:rsidRPr="00F72F60">
        <w:rPr>
          <w:rFonts w:cs="Calibri"/>
          <w:sz w:val="20"/>
          <w:szCs w:val="20"/>
        </w:rPr>
        <w:t xml:space="preserve">decreases in broccoli and tomato (field gourmet) prices. Prices of only a few vegetables are higher than at the same time in 2011, </w:t>
      </w:r>
      <w:r w:rsidR="00032824">
        <w:rPr>
          <w:rFonts w:cs="Calibri"/>
          <w:sz w:val="20"/>
          <w:szCs w:val="20"/>
        </w:rPr>
        <w:t xml:space="preserve">such as </w:t>
      </w:r>
      <w:r w:rsidRPr="00F72F60">
        <w:rPr>
          <w:rFonts w:cs="Calibri"/>
          <w:sz w:val="20"/>
          <w:szCs w:val="20"/>
        </w:rPr>
        <w:t xml:space="preserve">iceberg lettuce (figure </w:t>
      </w:r>
      <w:r w:rsidR="0014629A" w:rsidRPr="00F72F60">
        <w:rPr>
          <w:rFonts w:cs="Calibri"/>
          <w:sz w:val="20"/>
          <w:szCs w:val="20"/>
        </w:rPr>
        <w:t>B</w:t>
      </w:r>
      <w:r w:rsidRPr="00F72F60">
        <w:rPr>
          <w:rFonts w:cs="Calibri"/>
          <w:sz w:val="20"/>
          <w:szCs w:val="20"/>
        </w:rPr>
        <w:t>).</w:t>
      </w:r>
    </w:p>
    <w:p w:rsidR="003B510F" w:rsidRPr="00F72F60" w:rsidRDefault="003B510F"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 xml:space="preserve">The world cotton indicator price (the </w:t>
      </w:r>
      <w:proofErr w:type="spellStart"/>
      <w:r w:rsidRPr="00F72F60">
        <w:rPr>
          <w:rFonts w:cs="Calibri"/>
          <w:sz w:val="20"/>
          <w:szCs w:val="20"/>
        </w:rPr>
        <w:t>Cotlook</w:t>
      </w:r>
      <w:proofErr w:type="spellEnd"/>
      <w:r w:rsidRPr="00F72F60">
        <w:rPr>
          <w:rFonts w:cs="Calibri"/>
          <w:sz w:val="20"/>
          <w:szCs w:val="20"/>
        </w:rPr>
        <w:t xml:space="preserve"> ‘</w:t>
      </w:r>
      <w:proofErr w:type="gramStart"/>
      <w:r w:rsidRPr="00F72F60">
        <w:rPr>
          <w:rFonts w:cs="Calibri"/>
          <w:sz w:val="20"/>
          <w:szCs w:val="20"/>
        </w:rPr>
        <w:t>A</w:t>
      </w:r>
      <w:proofErr w:type="gramEnd"/>
      <w:r w:rsidRPr="00F72F60">
        <w:rPr>
          <w:rFonts w:cs="Calibri"/>
          <w:sz w:val="20"/>
          <w:szCs w:val="20"/>
        </w:rPr>
        <w:t xml:space="preserve">’ index) averaged around US84 cents a pound in the week ending 20 June 2012, compared with US82.4 cents a pound in the previous week. The annual </w:t>
      </w:r>
      <w:hyperlink r:id="rId20" w:history="1">
        <w:r w:rsidRPr="00F72F60">
          <w:rPr>
            <w:rFonts w:cs="Calibri"/>
            <w:sz w:val="20"/>
            <w:szCs w:val="20"/>
          </w:rPr>
          <w:t>monsoon</w:t>
        </w:r>
      </w:hyperlink>
      <w:r w:rsidRPr="00F72F60">
        <w:rPr>
          <w:rFonts w:cs="Calibri"/>
          <w:sz w:val="20"/>
          <w:szCs w:val="20"/>
        </w:rPr>
        <w:t xml:space="preserve"> rains have started in India, covering almost half of the country, and are showing signs of a pick-up after falling short in the first 15 days of the season. India's June–September monsoon rains are vital for agriculture</w:t>
      </w:r>
      <w:r w:rsidR="00032824">
        <w:rPr>
          <w:rFonts w:cs="Calibri"/>
          <w:sz w:val="20"/>
          <w:szCs w:val="20"/>
        </w:rPr>
        <w:t>.</w:t>
      </w:r>
    </w:p>
    <w:p w:rsidR="003B510F" w:rsidRPr="00F72F60" w:rsidRDefault="003B510F"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world sugar indicator price (Intercontinental Exchange, nearby futures, no. 11 contract) averaged US21 cents a pound in the week ending 20 June 2012, 4.5 per cent higher than in the previous week.</w:t>
      </w:r>
    </w:p>
    <w:p w:rsidR="003B510F" w:rsidRPr="00F72F60" w:rsidRDefault="003B510F"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Eastern Market Indicator price for wool fell 25 cents in the week ending 14 June 2012 to 1054 cents a kilogram clean. The number of bales offered for sale was 18 per cent higher than in the previous week.</w:t>
      </w:r>
    </w:p>
    <w:p w:rsidR="003B510F" w:rsidRPr="00F72F60" w:rsidRDefault="003B510F"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world canola indicator price (Rapeseed, Europe, free on board Hamburg) averaged US$593 a tonne in the week ending 19 June 2012, compared with US$595 a tonne in the previous week and 12 per cent lower than the same time last year whe</w:t>
      </w:r>
      <w:r w:rsidR="00D2349F">
        <w:rPr>
          <w:rFonts w:cs="Calibri"/>
          <w:sz w:val="20"/>
          <w:szCs w:val="20"/>
        </w:rPr>
        <w:t>n the price was US$676 a tonne.</w:t>
      </w:r>
    </w:p>
    <w:p w:rsidR="003B510F" w:rsidRPr="00F72F60" w:rsidRDefault="003B510F"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Australian canola indicator price (Portland, Victoria) averaged $50</w:t>
      </w:r>
      <w:r w:rsidR="00B40437">
        <w:rPr>
          <w:rFonts w:cs="Calibri"/>
          <w:sz w:val="20"/>
          <w:szCs w:val="20"/>
        </w:rPr>
        <w:t>0 a tonne in the week ending 18 </w:t>
      </w:r>
      <w:r w:rsidRPr="00F72F60">
        <w:rPr>
          <w:rFonts w:cs="Calibri"/>
          <w:sz w:val="20"/>
          <w:szCs w:val="20"/>
        </w:rPr>
        <w:t>June 2012, compared with $515 a tonne in the previous week.</w:t>
      </w:r>
    </w:p>
    <w:p w:rsidR="003B510F" w:rsidRPr="00F72F60" w:rsidRDefault="003B510F"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world coarse grains indicator price (US no. 2 yellow corn, free on boar</w:t>
      </w:r>
      <w:r w:rsidR="00B40437">
        <w:rPr>
          <w:rFonts w:cs="Calibri"/>
          <w:sz w:val="20"/>
          <w:szCs w:val="20"/>
        </w:rPr>
        <w:t>d Gulf ports) averaged US$269 a </w:t>
      </w:r>
      <w:r w:rsidRPr="00F72F60">
        <w:rPr>
          <w:rFonts w:cs="Calibri"/>
          <w:sz w:val="20"/>
          <w:szCs w:val="20"/>
        </w:rPr>
        <w:t>tonne for the week ending 20 June 2012, compared with US$266 a tonne in the previous week.</w:t>
      </w:r>
    </w:p>
    <w:p w:rsidR="00216BF3" w:rsidRPr="00F72F60" w:rsidRDefault="00216BF3" w:rsidP="003B510F">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world wheat indicator price (US no. 2 hard red winter, free on boar</w:t>
      </w:r>
      <w:r w:rsidR="00B40437">
        <w:rPr>
          <w:rFonts w:cs="Calibri"/>
          <w:sz w:val="20"/>
          <w:szCs w:val="20"/>
        </w:rPr>
        <w:t>d Gulf ports) averaged US$280 a </w:t>
      </w:r>
      <w:r w:rsidRPr="00F72F60">
        <w:rPr>
          <w:rFonts w:cs="Calibri"/>
          <w:sz w:val="20"/>
          <w:szCs w:val="20"/>
        </w:rPr>
        <w:t>tonne in the week ending 19 June 2012, compared with US$279 a tonne in the previous week.</w:t>
      </w:r>
    </w:p>
    <w:p w:rsidR="00216BF3" w:rsidRPr="00F72F60" w:rsidRDefault="00216BF3" w:rsidP="00216BF3">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The Queensland young cattle indicator price (330</w:t>
      </w:r>
      <w:r w:rsidRPr="00F72F60">
        <w:rPr>
          <w:rFonts w:cs="Calibri"/>
          <w:sz w:val="20"/>
          <w:szCs w:val="20"/>
        </w:rPr>
        <w:softHyphen/>
        <w:t xml:space="preserve">-400 kg live weight </w:t>
      </w:r>
      <w:r w:rsidR="00B40437">
        <w:rPr>
          <w:rFonts w:cs="Calibri"/>
          <w:sz w:val="20"/>
          <w:szCs w:val="20"/>
        </w:rPr>
        <w:t>C3) rose 5 cents to 357 cents a </w:t>
      </w:r>
      <w:r w:rsidRPr="00F72F60">
        <w:rPr>
          <w:rFonts w:cs="Calibri"/>
          <w:sz w:val="20"/>
          <w:szCs w:val="20"/>
        </w:rPr>
        <w:t>kilogram in the week ending 15 June 2012. Young cattle prices also rose in New South Wales and South Australia, but fell in Victoria and Tasmania.</w:t>
      </w:r>
    </w:p>
    <w:p w:rsidR="00216BF3" w:rsidRPr="00F72F60" w:rsidRDefault="00216BF3" w:rsidP="00216BF3">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Saleyard prices of lamb rose in most states in the week ending 15 June 2012. The largest increase was in Western Australia where the indicator price (18-22kg fat score 2-4) rose 11 per cent to 451 cents a kilogram.</w:t>
      </w:r>
    </w:p>
    <w:p w:rsidR="00216BF3" w:rsidRPr="00F72F60" w:rsidRDefault="00216BF3" w:rsidP="00216BF3">
      <w:pPr>
        <w:pStyle w:val="ListParagraph"/>
        <w:numPr>
          <w:ilvl w:val="0"/>
          <w:numId w:val="8"/>
        </w:numPr>
        <w:spacing w:before="120" w:after="120" w:line="240" w:lineRule="auto"/>
        <w:ind w:left="357" w:hanging="357"/>
        <w:contextualSpacing w:val="0"/>
        <w:rPr>
          <w:rFonts w:cs="Calibri"/>
          <w:sz w:val="20"/>
          <w:szCs w:val="20"/>
        </w:rPr>
      </w:pPr>
      <w:r w:rsidRPr="00F72F60">
        <w:rPr>
          <w:rFonts w:cs="Calibri"/>
          <w:sz w:val="20"/>
          <w:szCs w:val="20"/>
        </w:rPr>
        <w:t>Australian market milk sales rose 3.3 per cent, year on year, for the first eleven months of 2011-12. Sales of full cream milk and reduced fat milk increased by 2.2 per cent and 7.6 per cent, respectively, over this period.</w:t>
      </w:r>
    </w:p>
    <w:p w:rsidR="0014629A" w:rsidRPr="00AE4D73" w:rsidRDefault="0014629A" w:rsidP="0014629A">
      <w:pPr>
        <w:pStyle w:val="Caption"/>
        <w:keepNext/>
        <w:spacing w:before="240"/>
        <w:ind w:left="360"/>
        <w:rPr>
          <w:rFonts w:asciiTheme="minorHAnsi" w:eastAsiaTheme="majorEastAsia" w:hAnsiTheme="minorHAnsi"/>
          <w:bCs w:val="0"/>
          <w:color w:val="auto"/>
          <w:sz w:val="24"/>
          <w:szCs w:val="24"/>
        </w:rPr>
      </w:pPr>
      <w:r w:rsidRPr="004D454E">
        <w:rPr>
          <w:rFonts w:asciiTheme="minorHAnsi" w:eastAsiaTheme="majorEastAsia" w:hAnsiTheme="minorHAnsi"/>
          <w:bCs w:val="0"/>
          <w:color w:val="auto"/>
          <w:sz w:val="24"/>
          <w:szCs w:val="24"/>
        </w:rPr>
        <w:lastRenderedPageBreak/>
        <w:t xml:space="preserve">Figure </w:t>
      </w:r>
      <w:r>
        <w:rPr>
          <w:rFonts w:asciiTheme="minorHAnsi" w:eastAsiaTheme="majorEastAsia" w:hAnsiTheme="minorHAnsi"/>
          <w:bCs w:val="0"/>
          <w:color w:val="auto"/>
          <w:sz w:val="24"/>
          <w:szCs w:val="24"/>
        </w:rPr>
        <w:t>A</w:t>
      </w:r>
      <w:r w:rsidRPr="004D454E">
        <w:rPr>
          <w:rFonts w:asciiTheme="minorHAnsi" w:eastAsiaTheme="majorEastAsia" w:hAnsiTheme="minorHAnsi"/>
          <w:bCs w:val="0"/>
          <w:color w:val="auto"/>
          <w:sz w:val="24"/>
          <w:szCs w:val="24"/>
        </w:rPr>
        <w:t>: Year-on-year changes in selected fruit prices,</w:t>
      </w:r>
      <w:r>
        <w:rPr>
          <w:rFonts w:asciiTheme="minorHAnsi" w:eastAsiaTheme="majorEastAsia" w:hAnsiTheme="minorHAnsi"/>
          <w:bCs w:val="0"/>
          <w:color w:val="auto"/>
          <w:sz w:val="24"/>
          <w:szCs w:val="24"/>
        </w:rPr>
        <w:t xml:space="preserve"> Melbourne wholesale market, 16 June</w:t>
      </w:r>
      <w:r w:rsidRPr="004D454E">
        <w:rPr>
          <w:rFonts w:asciiTheme="minorHAnsi" w:eastAsiaTheme="majorEastAsia" w:hAnsiTheme="minorHAnsi"/>
          <w:bCs w:val="0"/>
          <w:color w:val="auto"/>
          <w:sz w:val="24"/>
          <w:szCs w:val="24"/>
        </w:rPr>
        <w:t xml:space="preserve"> 2012</w:t>
      </w:r>
    </w:p>
    <w:p w:rsidR="0014629A" w:rsidRDefault="0014629A" w:rsidP="003B510F">
      <w:pPr>
        <w:rPr>
          <w:rFonts w:asciiTheme="minorHAnsi" w:eastAsiaTheme="majorEastAsia" w:hAnsiTheme="minorHAnsi"/>
          <w:b/>
        </w:rPr>
      </w:pPr>
      <w:r w:rsidRPr="0014629A">
        <w:rPr>
          <w:noProof/>
        </w:rPr>
        <w:drawing>
          <wp:inline distT="0" distB="0" distL="0" distR="0">
            <wp:extent cx="4826324" cy="3060000"/>
            <wp:effectExtent l="19050" t="0" r="0" b="0"/>
            <wp:docPr id="51" name="Picture 1" descr="Year-on-year changes in selected fruit prices, Melbourne whoilesale markets, 16 Jun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826324" cy="3060000"/>
                    </a:xfrm>
                    <a:prstGeom prst="rect">
                      <a:avLst/>
                    </a:prstGeom>
                  </pic:spPr>
                </pic:pic>
              </a:graphicData>
            </a:graphic>
          </wp:inline>
        </w:drawing>
      </w:r>
    </w:p>
    <w:p w:rsidR="0014629A" w:rsidRPr="004D454E" w:rsidRDefault="0014629A" w:rsidP="0014629A">
      <w:pPr>
        <w:spacing w:before="600"/>
        <w:rPr>
          <w:rFonts w:asciiTheme="minorHAnsi" w:eastAsiaTheme="majorEastAsia" w:hAnsiTheme="minorHAnsi"/>
          <w:b/>
        </w:rPr>
      </w:pPr>
      <w:r w:rsidRPr="004D454E">
        <w:rPr>
          <w:rFonts w:asciiTheme="minorHAnsi" w:eastAsiaTheme="majorEastAsia" w:hAnsiTheme="minorHAnsi"/>
          <w:b/>
        </w:rPr>
        <w:t xml:space="preserve">Figure </w:t>
      </w:r>
      <w:r>
        <w:rPr>
          <w:rFonts w:asciiTheme="minorHAnsi" w:eastAsiaTheme="majorEastAsia" w:hAnsiTheme="minorHAnsi"/>
          <w:b/>
        </w:rPr>
        <w:t>B</w:t>
      </w:r>
      <w:r w:rsidRPr="004D454E">
        <w:rPr>
          <w:rFonts w:asciiTheme="minorHAnsi" w:eastAsiaTheme="majorEastAsia" w:hAnsiTheme="minorHAnsi"/>
          <w:b/>
        </w:rPr>
        <w:t xml:space="preserve">: Year-on-year changes in selected vegetable prices, Melbourne wholesale </w:t>
      </w:r>
      <w:r>
        <w:rPr>
          <w:rFonts w:asciiTheme="minorHAnsi" w:eastAsiaTheme="majorEastAsia" w:hAnsiTheme="minorHAnsi"/>
          <w:b/>
        </w:rPr>
        <w:t>market, 16</w:t>
      </w:r>
      <w:r w:rsidRPr="004D454E">
        <w:rPr>
          <w:rFonts w:asciiTheme="minorHAnsi" w:eastAsiaTheme="majorEastAsia" w:hAnsiTheme="minorHAnsi"/>
          <w:b/>
        </w:rPr>
        <w:t xml:space="preserve"> </w:t>
      </w:r>
      <w:r>
        <w:rPr>
          <w:rFonts w:asciiTheme="minorHAnsi" w:eastAsiaTheme="majorEastAsia" w:hAnsiTheme="minorHAnsi"/>
          <w:b/>
        </w:rPr>
        <w:t>June</w:t>
      </w:r>
      <w:r w:rsidRPr="004D454E">
        <w:rPr>
          <w:rFonts w:asciiTheme="minorHAnsi" w:eastAsiaTheme="majorEastAsia" w:hAnsiTheme="minorHAnsi"/>
          <w:b/>
        </w:rPr>
        <w:t xml:space="preserve"> 2012</w:t>
      </w:r>
    </w:p>
    <w:p w:rsidR="0014629A" w:rsidRDefault="0014629A" w:rsidP="003B510F">
      <w:pPr>
        <w:pStyle w:val="ListBullet"/>
        <w:numPr>
          <w:ilvl w:val="0"/>
          <w:numId w:val="0"/>
        </w:numPr>
        <w:spacing w:before="80"/>
        <w:ind w:left="357"/>
        <w:rPr>
          <w:rFonts w:ascii="Calibri" w:hAnsi="Calibri"/>
          <w:szCs w:val="20"/>
        </w:rPr>
      </w:pPr>
      <w:r w:rsidRPr="0014629A">
        <w:rPr>
          <w:noProof/>
        </w:rPr>
        <w:drawing>
          <wp:inline distT="0" distB="0" distL="0" distR="0">
            <wp:extent cx="4648249" cy="2952000"/>
            <wp:effectExtent l="19050" t="0" r="0" b="0"/>
            <wp:docPr id="52" name="Picture 1" descr="Year-on-year changes in selected vegetable prices, Melbourne whoilesale markets, 16 Jun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648249" cy="2952000"/>
                    </a:xfrm>
                    <a:prstGeom prst="rect">
                      <a:avLst/>
                    </a:prstGeom>
                  </pic:spPr>
                </pic:pic>
              </a:graphicData>
            </a:graphic>
          </wp:inline>
        </w:drawing>
      </w:r>
    </w:p>
    <w:p w:rsidR="00146EC6" w:rsidRDefault="00146EC6" w:rsidP="00146EC6">
      <w:pPr>
        <w:jc w:val="center"/>
        <w:rPr>
          <w:rFonts w:asciiTheme="minorHAnsi" w:hAnsiTheme="minorHAnsi" w:cs="Arial"/>
          <w:sz w:val="20"/>
          <w:szCs w:val="20"/>
        </w:rPr>
      </w:pPr>
    </w:p>
    <w:p w:rsidR="00693FD0" w:rsidRPr="008867AB" w:rsidRDefault="00693FD0">
      <w:pPr>
        <w:rPr>
          <w:rFonts w:ascii="Calibri" w:hAnsi="Calibri" w:cs="Arial"/>
          <w:color w:val="00B0F0"/>
          <w:sz w:val="20"/>
          <w:szCs w:val="20"/>
        </w:rPr>
        <w:sectPr w:rsidR="00693FD0" w:rsidRPr="008867AB" w:rsidSect="00E6294C">
          <w:footerReference w:type="default" r:id="rId23"/>
          <w:footerReference w:type="first" r:id="rId24"/>
          <w:type w:val="continuous"/>
          <w:pgSz w:w="11906" w:h="16838"/>
          <w:pgMar w:top="1440" w:right="1440" w:bottom="1440" w:left="1440" w:header="709" w:footer="709" w:gutter="0"/>
          <w:cols w:space="708"/>
          <w:titlePg/>
          <w:docGrid w:linePitch="360"/>
        </w:sectPr>
      </w:pPr>
    </w:p>
    <w:p w:rsidR="00A12B8B" w:rsidRPr="00027E81" w:rsidRDefault="0098506B" w:rsidP="00A12B8B">
      <w:pPr>
        <w:pStyle w:val="Heading3"/>
        <w:numPr>
          <w:ilvl w:val="1"/>
          <w:numId w:val="4"/>
        </w:numPr>
        <w:spacing w:line="276" w:lineRule="auto"/>
        <w:ind w:left="709" w:hanging="709"/>
        <w:rPr>
          <w:rFonts w:cs="Arial"/>
          <w:color w:val="auto"/>
          <w:sz w:val="28"/>
          <w:szCs w:val="28"/>
        </w:rPr>
      </w:pPr>
      <w:r w:rsidRPr="00027E81">
        <w:rPr>
          <w:rFonts w:cs="Arial"/>
          <w:color w:val="auto"/>
          <w:sz w:val="28"/>
          <w:szCs w:val="28"/>
        </w:rPr>
        <w:lastRenderedPageBreak/>
        <w:t>Recent movements in fruit and vegetable prices</w:t>
      </w:r>
    </w:p>
    <w:p w:rsidR="00A12B8B" w:rsidRPr="004D454E" w:rsidRDefault="00A12B8B" w:rsidP="00A12B8B">
      <w:pPr>
        <w:ind w:left="426"/>
        <w:rPr>
          <w:rFonts w:ascii="Calibri" w:hAnsi="Calibri" w:cs="Arial"/>
          <w:b/>
          <w:bCs/>
          <w:iCs/>
        </w:rPr>
      </w:pPr>
      <w:r w:rsidRPr="004D454E">
        <w:rPr>
          <w:rFonts w:ascii="Calibri" w:hAnsi="Calibri" w:cs="Arial"/>
          <w:b/>
          <w:bCs/>
          <w:iCs/>
        </w:rPr>
        <w:t>Weekly wholesale prices for selected fruit, Melbourne market</w:t>
      </w:r>
    </w:p>
    <w:p w:rsidR="005E7073" w:rsidRDefault="00CB0F00" w:rsidP="00A12B8B">
      <w:pPr>
        <w:rPr>
          <w:rFonts w:ascii="Calibri" w:hAnsi="Calibri"/>
        </w:rPr>
      </w:pPr>
      <w:r w:rsidRPr="00CB0F00">
        <w:rPr>
          <w:noProof/>
        </w:rPr>
        <w:drawing>
          <wp:inline distT="0" distB="0" distL="0" distR="0">
            <wp:extent cx="3960816" cy="2520000"/>
            <wp:effectExtent l="19050" t="0" r="1584" b="0"/>
            <wp:docPr id="30" name="Picture 1" descr="Line graph showing weekly wholesale prices for pineapple (smoothleaf), watermelon (seedless), rockmelon, and banana (cavendish), Melbourne market in the week ending 16 Jun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960816" cy="2520000"/>
                    </a:xfrm>
                    <a:prstGeom prst="rect">
                      <a:avLst/>
                    </a:prstGeom>
                  </pic:spPr>
                </pic:pic>
              </a:graphicData>
            </a:graphic>
          </wp:inline>
        </w:drawing>
      </w:r>
      <w:r w:rsidR="00C90DD8" w:rsidRPr="00C90DD8">
        <w:rPr>
          <w:noProof/>
        </w:rPr>
        <w:drawing>
          <wp:inline distT="0" distB="0" distL="0" distR="0">
            <wp:extent cx="3966984" cy="2520000"/>
            <wp:effectExtent l="19050" t="0" r="0" b="0"/>
            <wp:docPr id="35" name="Picture 1" descr="Line graph showing weekly wholesale prices for kiwfruit (hayward), orange (navel), apple (royal gala), and avacado (hass), Melbourne market in the week ending 16 Jun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966984" cy="2520000"/>
                    </a:xfrm>
                    <a:prstGeom prst="rect">
                      <a:avLst/>
                    </a:prstGeom>
                  </pic:spPr>
                </pic:pic>
              </a:graphicData>
            </a:graphic>
          </wp:inline>
        </w:drawing>
      </w:r>
    </w:p>
    <w:p w:rsidR="005E7073" w:rsidRPr="004D454E" w:rsidRDefault="005E7073" w:rsidP="00C90DD8">
      <w:pPr>
        <w:spacing w:before="120"/>
        <w:ind w:left="425"/>
        <w:rPr>
          <w:rFonts w:ascii="Calibri" w:hAnsi="Calibri" w:cs="Arial"/>
          <w:b/>
          <w:bCs/>
          <w:iCs/>
        </w:rPr>
      </w:pPr>
      <w:r w:rsidRPr="004D454E">
        <w:rPr>
          <w:rFonts w:ascii="Calibri" w:hAnsi="Calibri" w:cs="Arial"/>
          <w:b/>
          <w:bCs/>
          <w:iCs/>
        </w:rPr>
        <w:t>Weekly wholesale prices for selected vegetables, Melbourne market</w:t>
      </w:r>
    </w:p>
    <w:p w:rsidR="005E7073" w:rsidRDefault="005E7073" w:rsidP="00A12B8B">
      <w:pPr>
        <w:rPr>
          <w:rFonts w:ascii="Calibri" w:hAnsi="Calibri"/>
        </w:rPr>
      </w:pPr>
    </w:p>
    <w:p w:rsidR="00A12B8B" w:rsidRPr="004D454E" w:rsidRDefault="00C90DD8" w:rsidP="00A12B8B">
      <w:pPr>
        <w:rPr>
          <w:rFonts w:ascii="Calibri" w:hAnsi="Calibri"/>
        </w:rPr>
      </w:pPr>
      <w:r w:rsidRPr="00C90DD8">
        <w:rPr>
          <w:noProof/>
        </w:rPr>
        <w:drawing>
          <wp:inline distT="0" distB="0" distL="0" distR="0">
            <wp:extent cx="3963850" cy="2520000"/>
            <wp:effectExtent l="19050" t="0" r="0" b="0"/>
            <wp:docPr id="37" name="Picture 1" descr="Line graph showing weekly wholesale prices for onion (brown), cauliflower, potato (white, washed) and tomato (field gourmet), Melbourne market in the week ending 16 June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963850" cy="2520000"/>
                    </a:xfrm>
                    <a:prstGeom prst="rect">
                      <a:avLst/>
                    </a:prstGeom>
                  </pic:spPr>
                </pic:pic>
              </a:graphicData>
            </a:graphic>
          </wp:inline>
        </w:drawing>
      </w:r>
      <w:r w:rsidRPr="00C90DD8">
        <w:rPr>
          <w:noProof/>
        </w:rPr>
        <w:drawing>
          <wp:inline distT="0" distB="0" distL="0" distR="0">
            <wp:extent cx="3963850" cy="2520000"/>
            <wp:effectExtent l="19050" t="0" r="0" b="0"/>
            <wp:docPr id="38" name="Picture 1" descr="Line graph showing weekly wholesale prices for broccoli, lettuce (iceberg), pumpkin (grey), and bean (round, stringless) Melbourne market in the week ending 16 Jun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3963850" cy="2520000"/>
                    </a:xfrm>
                    <a:prstGeom prst="rect">
                      <a:avLst/>
                    </a:prstGeom>
                  </pic:spPr>
                </pic:pic>
              </a:graphicData>
            </a:graphic>
          </wp:inline>
        </w:drawing>
      </w:r>
    </w:p>
    <w:p w:rsidR="005A52EA" w:rsidRPr="00027E81" w:rsidRDefault="005A52EA" w:rsidP="005A52EA">
      <w:pPr>
        <w:pStyle w:val="Heading3"/>
        <w:numPr>
          <w:ilvl w:val="1"/>
          <w:numId w:val="4"/>
        </w:numPr>
        <w:spacing w:line="276" w:lineRule="auto"/>
        <w:ind w:left="709" w:hanging="709"/>
        <w:rPr>
          <w:rFonts w:cs="Arial"/>
          <w:color w:val="auto"/>
          <w:sz w:val="28"/>
          <w:szCs w:val="28"/>
        </w:rPr>
      </w:pPr>
      <w:r w:rsidRPr="00027E81">
        <w:rPr>
          <w:rFonts w:cs="Arial"/>
          <w:color w:val="auto"/>
          <w:sz w:val="28"/>
          <w:szCs w:val="28"/>
        </w:rPr>
        <w:lastRenderedPageBreak/>
        <w:t>Selected world indicator prices</w:t>
      </w:r>
    </w:p>
    <w:p w:rsidR="005A52EA" w:rsidRPr="00B539C1" w:rsidRDefault="001F0200" w:rsidP="00062CC9">
      <w:pPr>
        <w:pStyle w:val="ListBullet"/>
        <w:numPr>
          <w:ilvl w:val="0"/>
          <w:numId w:val="0"/>
        </w:numPr>
        <w:spacing w:before="100"/>
        <w:rPr>
          <w:rFonts w:ascii="Calibri" w:hAnsi="Calibri" w:cs="Arial"/>
          <w:b/>
          <w:bCs/>
          <w:sz w:val="28"/>
          <w:szCs w:val="28"/>
        </w:rPr>
      </w:pPr>
      <w:r w:rsidRPr="001F0200">
        <w:rPr>
          <w:noProof/>
          <w:szCs w:val="28"/>
        </w:rPr>
        <w:drawing>
          <wp:inline distT="0" distB="0" distL="0" distR="0">
            <wp:extent cx="3887497" cy="2772000"/>
            <wp:effectExtent l="19050" t="0" r="0" b="0"/>
            <wp:docPr id="55" name="Picture 20" descr="Line graph showing the difference in indicator prices for world cotton since 2010. The price at 20 June 2012 was 84 cents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3887497" cy="2772000"/>
                    </a:xfrm>
                    <a:prstGeom prst="rect">
                      <a:avLst/>
                    </a:prstGeom>
                    <a:noFill/>
                    <a:ln w="9525">
                      <a:noFill/>
                      <a:miter lim="800000"/>
                      <a:headEnd/>
                      <a:tailEnd/>
                    </a:ln>
                  </pic:spPr>
                </pic:pic>
              </a:graphicData>
            </a:graphic>
          </wp:inline>
        </w:drawing>
      </w:r>
      <w:r w:rsidR="00901E4D" w:rsidRPr="00901E4D">
        <w:rPr>
          <w:noProof/>
          <w:szCs w:val="28"/>
        </w:rPr>
        <w:drawing>
          <wp:inline distT="0" distB="0" distL="0" distR="0">
            <wp:extent cx="3889377" cy="2772000"/>
            <wp:effectExtent l="19050" t="0" r="0" b="0"/>
            <wp:docPr id="56" name="Picture 24" descr="Line graph showing the difference in the Australian exchange rate (US dollars) since 2010. The exchange rate at 20 June 2012 is 1.008567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3889377" cy="2772000"/>
                    </a:xfrm>
                    <a:prstGeom prst="rect">
                      <a:avLst/>
                    </a:prstGeom>
                    <a:noFill/>
                    <a:ln w="9525">
                      <a:noFill/>
                      <a:miter lim="800000"/>
                      <a:headEnd/>
                      <a:tailEnd/>
                    </a:ln>
                  </pic:spPr>
                </pic:pic>
              </a:graphicData>
            </a:graphic>
          </wp:inline>
        </w:drawing>
      </w:r>
      <w:r w:rsidR="00901E4D" w:rsidRPr="00901E4D">
        <w:rPr>
          <w:noProof/>
          <w:szCs w:val="28"/>
        </w:rPr>
        <w:t xml:space="preserve"> </w:t>
      </w:r>
      <w:r w:rsidR="00901E4D" w:rsidRPr="00901E4D">
        <w:rPr>
          <w:noProof/>
          <w:szCs w:val="28"/>
        </w:rPr>
        <w:drawing>
          <wp:inline distT="0" distB="0" distL="0" distR="0">
            <wp:extent cx="3863961" cy="2772000"/>
            <wp:effectExtent l="19050" t="0" r="3189" b="0"/>
            <wp:docPr id="57" name="Picture 27" descr="Line graph showing the world sugar indicator price (US cents) since 2010. The value at 20 June 2012 was 21 cents a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3863961" cy="2772000"/>
                    </a:xfrm>
                    <a:prstGeom prst="rect">
                      <a:avLst/>
                    </a:prstGeom>
                    <a:noFill/>
                    <a:ln w="9525">
                      <a:noFill/>
                      <a:miter lim="800000"/>
                      <a:headEnd/>
                      <a:tailEnd/>
                    </a:ln>
                  </pic:spPr>
                </pic:pic>
              </a:graphicData>
            </a:graphic>
          </wp:inline>
        </w:drawing>
      </w:r>
      <w:r w:rsidR="00901E4D" w:rsidRPr="00901E4D">
        <w:rPr>
          <w:noProof/>
          <w:szCs w:val="28"/>
        </w:rPr>
        <w:drawing>
          <wp:inline distT="0" distB="0" distL="0" distR="0">
            <wp:extent cx="3887498" cy="2772000"/>
            <wp:effectExtent l="19050" t="0" r="0" b="0"/>
            <wp:docPr id="58" name="Picture 30" descr="Line graph showing the Eastern Market Indicator wool price in Australian cents. The price at 14 June 2012 was 1054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3887498" cy="2772000"/>
                    </a:xfrm>
                    <a:prstGeom prst="rect">
                      <a:avLst/>
                    </a:prstGeom>
                    <a:noFill/>
                    <a:ln w="9525">
                      <a:noFill/>
                      <a:miter lim="800000"/>
                      <a:headEnd/>
                      <a:tailEnd/>
                    </a:ln>
                  </pic:spPr>
                </pic:pic>
              </a:graphicData>
            </a:graphic>
          </wp:inline>
        </w:drawing>
      </w:r>
    </w:p>
    <w:p w:rsidR="008E5829" w:rsidRPr="00027E81" w:rsidRDefault="008E5829" w:rsidP="008E5829">
      <w:pPr>
        <w:pStyle w:val="Heading3"/>
        <w:numPr>
          <w:ilvl w:val="1"/>
          <w:numId w:val="4"/>
        </w:numPr>
        <w:spacing w:line="276" w:lineRule="auto"/>
        <w:ind w:left="709" w:hanging="709"/>
        <w:rPr>
          <w:rFonts w:cs="Arial"/>
          <w:color w:val="auto"/>
          <w:sz w:val="28"/>
          <w:szCs w:val="28"/>
        </w:rPr>
      </w:pPr>
      <w:r w:rsidRPr="00027E81">
        <w:rPr>
          <w:rFonts w:cs="Arial"/>
          <w:color w:val="auto"/>
          <w:sz w:val="28"/>
          <w:szCs w:val="28"/>
        </w:rPr>
        <w:lastRenderedPageBreak/>
        <w:t>Crop indicator prices</w:t>
      </w:r>
    </w:p>
    <w:p w:rsidR="008E5829" w:rsidRPr="00B539C1" w:rsidRDefault="00901E4D" w:rsidP="0069366F">
      <w:pPr>
        <w:rPr>
          <w:rFonts w:ascii="Calibri" w:hAnsi="Calibri"/>
          <w:sz w:val="20"/>
          <w:szCs w:val="20"/>
        </w:rPr>
      </w:pPr>
      <w:r w:rsidRPr="00901E4D">
        <w:rPr>
          <w:noProof/>
          <w:szCs w:val="20"/>
        </w:rPr>
        <w:drawing>
          <wp:inline distT="0" distB="0" distL="0" distR="0">
            <wp:extent cx="3887497" cy="2772000"/>
            <wp:effectExtent l="19050" t="0" r="0" b="0"/>
            <wp:docPr id="59" name="Picture 33" descr="Line graph showing the difference in trading prices for canola since 2010. The price at 18 June 2012 was $500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srcRect/>
                    <a:stretch>
                      <a:fillRect/>
                    </a:stretch>
                  </pic:blipFill>
                  <pic:spPr bwMode="auto">
                    <a:xfrm>
                      <a:off x="0" y="0"/>
                      <a:ext cx="3887497" cy="2772000"/>
                    </a:xfrm>
                    <a:prstGeom prst="rect">
                      <a:avLst/>
                    </a:prstGeom>
                    <a:noFill/>
                    <a:ln w="9525">
                      <a:noFill/>
                      <a:miter lim="800000"/>
                      <a:headEnd/>
                      <a:tailEnd/>
                    </a:ln>
                  </pic:spPr>
                </pic:pic>
              </a:graphicData>
            </a:graphic>
          </wp:inline>
        </w:drawing>
      </w:r>
      <w:r w:rsidRPr="00901E4D">
        <w:rPr>
          <w:noProof/>
          <w:szCs w:val="20"/>
        </w:rPr>
        <w:drawing>
          <wp:inline distT="0" distB="0" distL="0" distR="0">
            <wp:extent cx="3879286" cy="2772000"/>
            <wp:effectExtent l="19050" t="0" r="6914" b="0"/>
            <wp:docPr id="60" name="Picture 36" descr="Line graph showing the difference in trading prices for feed barley since 2010. The price at 19 June 2012 was $217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srcRect/>
                    <a:stretch>
                      <a:fillRect/>
                    </a:stretch>
                  </pic:blipFill>
                  <pic:spPr bwMode="auto">
                    <a:xfrm>
                      <a:off x="0" y="0"/>
                      <a:ext cx="3879286" cy="2772000"/>
                    </a:xfrm>
                    <a:prstGeom prst="rect">
                      <a:avLst/>
                    </a:prstGeom>
                    <a:noFill/>
                    <a:ln w="9525">
                      <a:noFill/>
                      <a:miter lim="800000"/>
                      <a:headEnd/>
                      <a:tailEnd/>
                    </a:ln>
                  </pic:spPr>
                </pic:pic>
              </a:graphicData>
            </a:graphic>
          </wp:inline>
        </w:drawing>
      </w:r>
      <w:r w:rsidRPr="00901E4D">
        <w:rPr>
          <w:noProof/>
          <w:szCs w:val="20"/>
        </w:rPr>
        <w:drawing>
          <wp:inline distT="0" distB="0" distL="0" distR="0">
            <wp:extent cx="3849825" cy="2772000"/>
            <wp:effectExtent l="19050" t="0" r="0" b="0"/>
            <wp:docPr id="61" name="Picture 39" descr="Line graph showing the difference in trading prices for grain sorghum since 2010. The price at 19 June 2012 was $194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3849825" cy="2772000"/>
                    </a:xfrm>
                    <a:prstGeom prst="rect">
                      <a:avLst/>
                    </a:prstGeom>
                    <a:noFill/>
                    <a:ln w="9525">
                      <a:noFill/>
                      <a:miter lim="800000"/>
                      <a:headEnd/>
                      <a:tailEnd/>
                    </a:ln>
                  </pic:spPr>
                </pic:pic>
              </a:graphicData>
            </a:graphic>
          </wp:inline>
        </w:drawing>
      </w:r>
      <w:r w:rsidRPr="00901E4D">
        <w:rPr>
          <w:noProof/>
          <w:szCs w:val="20"/>
        </w:rPr>
        <w:drawing>
          <wp:inline distT="0" distB="0" distL="0" distR="0">
            <wp:extent cx="3887498" cy="2772000"/>
            <wp:effectExtent l="19050" t="0" r="0" b="0"/>
            <wp:docPr id="63" name="Picture 45" descr="Line graph showing the difference in trading prices for feed wheat since 2010. The price at 19 June 2012 was $252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srcRect/>
                    <a:stretch>
                      <a:fillRect/>
                    </a:stretch>
                  </pic:blipFill>
                  <pic:spPr bwMode="auto">
                    <a:xfrm>
                      <a:off x="0" y="0"/>
                      <a:ext cx="3887498" cy="2772000"/>
                    </a:xfrm>
                    <a:prstGeom prst="rect">
                      <a:avLst/>
                    </a:prstGeom>
                    <a:noFill/>
                    <a:ln w="9525">
                      <a:noFill/>
                      <a:miter lim="800000"/>
                      <a:headEnd/>
                      <a:tailEnd/>
                    </a:ln>
                  </pic:spPr>
                </pic:pic>
              </a:graphicData>
            </a:graphic>
          </wp:inline>
        </w:drawing>
      </w:r>
    </w:p>
    <w:p w:rsidR="008E5829" w:rsidRPr="00027E81" w:rsidRDefault="008E5829" w:rsidP="008E5829">
      <w:pPr>
        <w:pStyle w:val="Heading3"/>
        <w:numPr>
          <w:ilvl w:val="1"/>
          <w:numId w:val="4"/>
        </w:numPr>
        <w:spacing w:line="276" w:lineRule="auto"/>
        <w:ind w:left="709" w:hanging="709"/>
        <w:rPr>
          <w:rFonts w:cs="Arial"/>
          <w:color w:val="auto"/>
          <w:sz w:val="28"/>
          <w:szCs w:val="28"/>
        </w:rPr>
      </w:pPr>
      <w:r w:rsidRPr="00027E81">
        <w:rPr>
          <w:rFonts w:cs="Arial"/>
          <w:color w:val="auto"/>
          <w:sz w:val="28"/>
          <w:szCs w:val="28"/>
        </w:rPr>
        <w:lastRenderedPageBreak/>
        <w:t>Livestock indicator prices</w:t>
      </w:r>
    </w:p>
    <w:p w:rsidR="008E5829" w:rsidRPr="00B539C1" w:rsidRDefault="00901E4D" w:rsidP="008E5829">
      <w:pPr>
        <w:rPr>
          <w:rFonts w:ascii="Calibri" w:hAnsi="Calibri"/>
          <w:sz w:val="20"/>
          <w:szCs w:val="20"/>
        </w:rPr>
      </w:pPr>
      <w:r w:rsidRPr="00901E4D">
        <w:rPr>
          <w:noProof/>
          <w:szCs w:val="20"/>
        </w:rPr>
        <w:drawing>
          <wp:inline distT="0" distB="0" distL="0" distR="0">
            <wp:extent cx="3872209" cy="2772000"/>
            <wp:effectExtent l="19050" t="0" r="0" b="0"/>
            <wp:docPr id="64" name="Picture 48" descr="Line graph showing the difference in indicator prices for young cattle since 2010. The price at 15 June 2012 was 357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srcRect/>
                    <a:stretch>
                      <a:fillRect/>
                    </a:stretch>
                  </pic:blipFill>
                  <pic:spPr bwMode="auto">
                    <a:xfrm>
                      <a:off x="0" y="0"/>
                      <a:ext cx="3872209" cy="2772000"/>
                    </a:xfrm>
                    <a:prstGeom prst="rect">
                      <a:avLst/>
                    </a:prstGeom>
                    <a:noFill/>
                    <a:ln w="9525">
                      <a:noFill/>
                      <a:miter lim="800000"/>
                      <a:headEnd/>
                      <a:tailEnd/>
                    </a:ln>
                  </pic:spPr>
                </pic:pic>
              </a:graphicData>
            </a:graphic>
          </wp:inline>
        </w:drawing>
      </w:r>
      <w:r w:rsidRPr="00901E4D">
        <w:rPr>
          <w:noProof/>
          <w:szCs w:val="20"/>
        </w:rPr>
        <w:drawing>
          <wp:inline distT="0" distB="0" distL="0" distR="0">
            <wp:extent cx="3872107" cy="2772000"/>
            <wp:effectExtent l="19050" t="0" r="0" b="0"/>
            <wp:docPr id="65" name="Picture 51" descr="Line graph showing the difference in indicator prices for mutton since 2010. The price at 15 June 2012 was 319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cstate="print"/>
                    <a:srcRect/>
                    <a:stretch>
                      <a:fillRect/>
                    </a:stretch>
                  </pic:blipFill>
                  <pic:spPr bwMode="auto">
                    <a:xfrm>
                      <a:off x="0" y="0"/>
                      <a:ext cx="3872107" cy="2772000"/>
                    </a:xfrm>
                    <a:prstGeom prst="rect">
                      <a:avLst/>
                    </a:prstGeom>
                    <a:noFill/>
                    <a:ln w="9525">
                      <a:noFill/>
                      <a:miter lim="800000"/>
                      <a:headEnd/>
                      <a:tailEnd/>
                    </a:ln>
                  </pic:spPr>
                </pic:pic>
              </a:graphicData>
            </a:graphic>
          </wp:inline>
        </w:drawing>
      </w:r>
      <w:r w:rsidR="00E401AC" w:rsidRPr="00E401AC">
        <w:rPr>
          <w:noProof/>
          <w:szCs w:val="20"/>
        </w:rPr>
        <w:drawing>
          <wp:inline distT="0" distB="0" distL="0" distR="0">
            <wp:extent cx="3874141" cy="2772000"/>
            <wp:effectExtent l="19050" t="0" r="0" b="0"/>
            <wp:docPr id="66" name="Picture 55" descr="Line graph showing the difference in indicator prices for lamb since 2010. The price at 15 June 2012 was 441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srcRect/>
                    <a:stretch>
                      <a:fillRect/>
                    </a:stretch>
                  </pic:blipFill>
                  <pic:spPr bwMode="auto">
                    <a:xfrm>
                      <a:off x="0" y="0"/>
                      <a:ext cx="3874141" cy="2772000"/>
                    </a:xfrm>
                    <a:prstGeom prst="rect">
                      <a:avLst/>
                    </a:prstGeom>
                    <a:noFill/>
                    <a:ln w="9525">
                      <a:noFill/>
                      <a:miter lim="800000"/>
                      <a:headEnd/>
                      <a:tailEnd/>
                    </a:ln>
                  </pic:spPr>
                </pic:pic>
              </a:graphicData>
            </a:graphic>
          </wp:inline>
        </w:drawing>
      </w:r>
      <w:r w:rsidR="00E401AC" w:rsidRPr="00E401AC">
        <w:rPr>
          <w:noProof/>
          <w:szCs w:val="20"/>
        </w:rPr>
        <w:drawing>
          <wp:inline distT="0" distB="0" distL="0" distR="0">
            <wp:extent cx="3905069" cy="2772000"/>
            <wp:effectExtent l="19050" t="0" r="181" b="0"/>
            <wp:docPr id="67" name="Picture 58" descr="Line graph showing the difference in indicator prices for baconer pigs since 2010. The price at 15 June 2012 was 291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srcRect/>
                    <a:stretch>
                      <a:fillRect/>
                    </a:stretch>
                  </pic:blipFill>
                  <pic:spPr bwMode="auto">
                    <a:xfrm>
                      <a:off x="0" y="0"/>
                      <a:ext cx="3905069" cy="2772000"/>
                    </a:xfrm>
                    <a:prstGeom prst="rect">
                      <a:avLst/>
                    </a:prstGeom>
                    <a:noFill/>
                    <a:ln w="9525">
                      <a:noFill/>
                      <a:miter lim="800000"/>
                      <a:headEnd/>
                      <a:tailEnd/>
                    </a:ln>
                  </pic:spPr>
                </pic:pic>
              </a:graphicData>
            </a:graphic>
          </wp:inline>
        </w:drawing>
      </w:r>
    </w:p>
    <w:p w:rsidR="003E5A63" w:rsidRDefault="003E5A63"/>
    <w:p w:rsidR="003C5ACC" w:rsidRPr="004A66CF" w:rsidRDefault="003C5ACC" w:rsidP="00466085">
      <w:pPr>
        <w:pStyle w:val="ListParagraph"/>
        <w:numPr>
          <w:ilvl w:val="0"/>
          <w:numId w:val="7"/>
        </w:numPr>
        <w:rPr>
          <w:rFonts w:cs="Arial"/>
          <w:sz w:val="36"/>
          <w:szCs w:val="36"/>
        </w:rPr>
        <w:sectPr w:rsidR="003C5ACC" w:rsidRPr="004A66CF">
          <w:pgSz w:w="16838" w:h="11906" w:orient="landscape"/>
          <w:pgMar w:top="1080" w:right="1440" w:bottom="1080" w:left="1440" w:header="709" w:footer="709" w:gutter="0"/>
          <w:cols w:space="708"/>
          <w:docGrid w:linePitch="360"/>
        </w:sectPr>
      </w:pPr>
    </w:p>
    <w:p w:rsidR="003C5ACC" w:rsidRPr="00027E81" w:rsidRDefault="00B91946" w:rsidP="00E13B78">
      <w:pPr>
        <w:pStyle w:val="Heading2"/>
        <w:numPr>
          <w:ilvl w:val="0"/>
          <w:numId w:val="4"/>
        </w:numPr>
        <w:spacing w:before="0" w:after="0" w:line="276" w:lineRule="auto"/>
        <w:jc w:val="center"/>
        <w:rPr>
          <w:rFonts w:cs="Arial"/>
          <w:b/>
          <w:color w:val="auto"/>
          <w:szCs w:val="34"/>
        </w:rPr>
      </w:pPr>
      <w:r w:rsidRPr="00027E81">
        <w:rPr>
          <w:rFonts w:cs="Arial"/>
          <w:b/>
          <w:color w:val="auto"/>
          <w:szCs w:val="34"/>
        </w:rPr>
        <w:lastRenderedPageBreak/>
        <w:t>Data attribution</w:t>
      </w:r>
    </w:p>
    <w:p w:rsidR="005D22E6" w:rsidRDefault="00B91946">
      <w:pPr>
        <w:pStyle w:val="Heading3"/>
        <w:spacing w:before="0" w:after="60"/>
        <w:rPr>
          <w:rFonts w:ascii="Calibri" w:hAnsi="Calibri" w:cs="Arial"/>
          <w:color w:val="auto"/>
          <w:sz w:val="28"/>
          <w:szCs w:val="28"/>
        </w:rPr>
      </w:pPr>
      <w:r>
        <w:rPr>
          <w:rFonts w:ascii="Calibri" w:hAnsi="Calibri" w:cs="Arial"/>
          <w:color w:val="auto"/>
          <w:sz w:val="28"/>
          <w:szCs w:val="28"/>
        </w:rPr>
        <w:t>Climate</w:t>
      </w:r>
    </w:p>
    <w:p w:rsidR="005D22E6" w:rsidRDefault="00B91946">
      <w:pPr>
        <w:pStyle w:val="ListBullet"/>
        <w:numPr>
          <w:ilvl w:val="0"/>
          <w:numId w:val="0"/>
        </w:numPr>
        <w:spacing w:before="60"/>
        <w:ind w:left="357" w:hanging="357"/>
        <w:rPr>
          <w:rFonts w:ascii="Calibri" w:hAnsi="Calibri"/>
          <w:b/>
        </w:rPr>
      </w:pPr>
      <w:r>
        <w:rPr>
          <w:rFonts w:ascii="Calibri" w:hAnsi="Calibri"/>
          <w:b/>
        </w:rPr>
        <w:t>Bureau of Meteorology</w:t>
      </w:r>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Weekly rainfall totals: </w:t>
      </w:r>
      <w:hyperlink r:id="rId41" w:history="1">
        <w:r>
          <w:rPr>
            <w:rStyle w:val="Hyperlink"/>
            <w:rFonts w:ascii="Calibri" w:hAnsi="Calibri"/>
            <w:color w:val="3333FF"/>
          </w:rPr>
          <w:t>www.bom.gov.au/jsp/awap/rain/index.jsp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Monthly and last 3-months rainfall percentiles: </w:t>
      </w:r>
      <w:hyperlink r:id="rId42" w:history="1">
        <w:r>
          <w:rPr>
            <w:rStyle w:val="Hyperlink"/>
            <w:rFonts w:ascii="Calibri" w:hAnsi="Calibri"/>
          </w:rPr>
          <w:t>www.bom.gov.au/jsp/awap/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Temperature anomalies: </w:t>
      </w:r>
      <w:hyperlink r:id="rId43" w:history="1">
        <w:r>
          <w:rPr>
            <w:rStyle w:val="Hyperlink"/>
            <w:rFonts w:ascii="Calibri" w:hAnsi="Calibri"/>
          </w:rPr>
          <w:t>www.bom.gov.au/jsp/awap/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Rainfall forecast: </w:t>
      </w:r>
      <w:hyperlink r:id="rId44" w:history="1">
        <w:r>
          <w:rPr>
            <w:rStyle w:val="Hyperlink"/>
            <w:rFonts w:ascii="Calibri" w:hAnsi="Calibri"/>
            <w:color w:val="3333FF"/>
          </w:rPr>
          <w:t>www.bom.gov.au/jsp/watl/rainfall/pme.jsp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Seasonal outlook: </w:t>
      </w:r>
      <w:hyperlink r:id="rId45" w:history="1">
        <w:r>
          <w:rPr>
            <w:rStyle w:val="Hyperlink"/>
            <w:rFonts w:ascii="Calibri" w:hAnsi="Calibri"/>
            <w:color w:val="3333FF"/>
          </w:rPr>
          <w:t>www.bom.gov.au/climate/ahead</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Drought statement: </w:t>
      </w:r>
      <w:hyperlink r:id="rId46" w:history="1">
        <w:r>
          <w:rPr>
            <w:rStyle w:val="Hyperlink"/>
            <w:rFonts w:ascii="Calibri" w:hAnsi="Calibri"/>
            <w:color w:val="3333FF"/>
          </w:rPr>
          <w:t>www.bom.gov.au/climate/drought/drought.shtml</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ENSO Wrap-Up: </w:t>
      </w:r>
      <w:hyperlink r:id="rId47" w:history="1">
        <w:r>
          <w:rPr>
            <w:rStyle w:val="Hyperlink"/>
            <w:rFonts w:ascii="Calibri" w:hAnsi="Calibri"/>
            <w:color w:val="3333FF"/>
          </w:rPr>
          <w:t>www.bom.gov.au/climate/enso/</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Soil moisture (</w:t>
      </w:r>
      <w:proofErr w:type="spellStart"/>
      <w:r>
        <w:rPr>
          <w:rFonts w:ascii="Calibri" w:hAnsi="Calibri"/>
        </w:rPr>
        <w:t>BoM</w:t>
      </w:r>
      <w:proofErr w:type="spellEnd"/>
      <w:r>
        <w:rPr>
          <w:rFonts w:ascii="Calibri" w:hAnsi="Calibri"/>
        </w:rPr>
        <w:t xml:space="preserve">, CSIRO and the former Bureau of Rural Sciences): </w:t>
      </w:r>
      <w:hyperlink r:id="rId48" w:history="1">
        <w:r>
          <w:rPr>
            <w:rStyle w:val="Hyperlink"/>
            <w:rFonts w:ascii="Calibri" w:hAnsi="Calibri" w:cs="Arial"/>
            <w:color w:val="3333FF"/>
          </w:rPr>
          <w:t>www.eoc.csiro.au/</w:t>
        </w:r>
        <w:r>
          <w:rPr>
            <w:rStyle w:val="Hyperlink"/>
            <w:rFonts w:ascii="Calibri" w:hAnsi="Calibri" w:cs="Arial"/>
            <w:bCs/>
            <w:color w:val="3333FF"/>
          </w:rPr>
          <w:t>awap</w:t>
        </w:r>
        <w:r>
          <w:rPr>
            <w:rStyle w:val="Hyperlink"/>
            <w:rFonts w:ascii="Calibri" w:hAnsi="Calibri" w:cs="Arial"/>
            <w:color w:val="3333FF"/>
          </w:rPr>
          <w:t>/</w:t>
        </w:r>
      </w:hyperlink>
    </w:p>
    <w:p w:rsidR="005D22E6" w:rsidRDefault="00B91946">
      <w:pPr>
        <w:pStyle w:val="Heading3"/>
        <w:spacing w:before="0" w:after="60"/>
        <w:rPr>
          <w:rFonts w:ascii="Calibri" w:hAnsi="Calibri" w:cs="Arial"/>
          <w:color w:val="auto"/>
          <w:sz w:val="28"/>
          <w:szCs w:val="28"/>
        </w:rPr>
      </w:pPr>
      <w:r>
        <w:rPr>
          <w:rFonts w:ascii="Calibri" w:hAnsi="Calibri" w:cs="Arial"/>
          <w:color w:val="auto"/>
          <w:sz w:val="28"/>
          <w:szCs w:val="28"/>
        </w:rPr>
        <w:t>Water</w:t>
      </w:r>
    </w:p>
    <w:p w:rsidR="005D22E6" w:rsidRDefault="00B91946">
      <w:pPr>
        <w:pStyle w:val="ListBullet"/>
        <w:numPr>
          <w:ilvl w:val="0"/>
          <w:numId w:val="0"/>
        </w:numPr>
        <w:spacing w:before="60"/>
        <w:ind w:left="357" w:hanging="357"/>
        <w:rPr>
          <w:rFonts w:ascii="Calibri" w:hAnsi="Calibri"/>
          <w:b/>
        </w:rPr>
      </w:pPr>
      <w:r>
        <w:rPr>
          <w:rFonts w:ascii="Calibri" w:hAnsi="Calibri"/>
          <w:b/>
        </w:rPr>
        <w:t>New South Wales</w:t>
      </w:r>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New South Wales Water Information: </w:t>
      </w:r>
      <w:hyperlink r:id="rId49" w:history="1">
        <w:r>
          <w:rPr>
            <w:rStyle w:val="Hyperlink"/>
            <w:rFonts w:ascii="Calibri" w:hAnsi="Calibri"/>
            <w:color w:val="3333FF"/>
          </w:rPr>
          <w:t>http://waterinfo.nsw.gov.au/</w:t>
        </w:r>
      </w:hyperlink>
    </w:p>
    <w:p w:rsidR="005D22E6" w:rsidRDefault="00B91946" w:rsidP="002F3C41">
      <w:pPr>
        <w:numPr>
          <w:ilvl w:val="0"/>
          <w:numId w:val="5"/>
        </w:numPr>
        <w:spacing w:before="80" w:line="288" w:lineRule="auto"/>
        <w:ind w:left="448" w:hanging="448"/>
        <w:rPr>
          <w:rFonts w:ascii="Calibri" w:hAnsi="Calibri"/>
          <w:sz w:val="20"/>
        </w:rPr>
      </w:pPr>
      <w:r>
        <w:rPr>
          <w:rFonts w:ascii="Calibri" w:hAnsi="Calibri"/>
          <w:sz w:val="20"/>
        </w:rPr>
        <w:t xml:space="preserve">New South Wales Office of Water, Department of Environment, Climate Change and Water: </w:t>
      </w:r>
      <w:hyperlink r:id="rId50" w:history="1">
        <w:r>
          <w:rPr>
            <w:rStyle w:val="Hyperlink"/>
            <w:rFonts w:ascii="Calibri" w:hAnsi="Calibri"/>
            <w:color w:val="3333FF"/>
            <w:sz w:val="20"/>
          </w:rPr>
          <w:t>www.water.nsw.gov.au/Home/default.aspx</w:t>
        </w:r>
      </w:hyperlink>
    </w:p>
    <w:p w:rsidR="005D22E6" w:rsidRDefault="00B91946" w:rsidP="002F3C41">
      <w:pPr>
        <w:numPr>
          <w:ilvl w:val="0"/>
          <w:numId w:val="5"/>
        </w:numPr>
        <w:spacing w:before="80" w:line="288" w:lineRule="auto"/>
        <w:ind w:left="448" w:hanging="448"/>
        <w:rPr>
          <w:rFonts w:ascii="Calibri" w:hAnsi="Calibri"/>
          <w:sz w:val="20"/>
        </w:rPr>
      </w:pPr>
      <w:r>
        <w:rPr>
          <w:rFonts w:ascii="Calibri" w:hAnsi="Calibri"/>
          <w:sz w:val="20"/>
        </w:rPr>
        <w:t xml:space="preserve">Available water determinations register: </w:t>
      </w:r>
      <w:hyperlink r:id="rId51" w:history="1">
        <w:r>
          <w:rPr>
            <w:rStyle w:val="Hyperlink"/>
            <w:rFonts w:ascii="Calibri" w:hAnsi="Calibri"/>
            <w:color w:val="3333FF"/>
            <w:sz w:val="20"/>
          </w:rPr>
          <w:t>www.wix.nsw.gov.au/wma/DeterminationSearch.jsp?selectedRegister=Determination</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Snowy Hydro: </w:t>
      </w:r>
      <w:hyperlink r:id="rId52" w:history="1">
        <w:r>
          <w:rPr>
            <w:rStyle w:val="Hyperlink"/>
            <w:rFonts w:ascii="Calibri" w:hAnsi="Calibri"/>
            <w:color w:val="3333FF"/>
            <w:lang w:val="en-US"/>
          </w:rPr>
          <w:t>www.snowyhydro.com.au/lakeLevels.asp?pageID=47&amp;parentID=61&amp;grandParentID=4</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Queensland</w:t>
      </w:r>
    </w:p>
    <w:p w:rsidR="005D22E6" w:rsidRDefault="00B91946" w:rsidP="002F3C41">
      <w:pPr>
        <w:pStyle w:val="ListBullet"/>
        <w:numPr>
          <w:ilvl w:val="0"/>
          <w:numId w:val="5"/>
        </w:numPr>
        <w:spacing w:before="80"/>
        <w:ind w:left="448" w:hanging="448"/>
        <w:rPr>
          <w:rFonts w:ascii="Calibri" w:hAnsi="Calibri"/>
          <w:b/>
        </w:rPr>
      </w:pPr>
      <w:proofErr w:type="spellStart"/>
      <w:r>
        <w:rPr>
          <w:rFonts w:ascii="Calibri" w:hAnsi="Calibri"/>
        </w:rPr>
        <w:t>Sunwater</w:t>
      </w:r>
      <w:proofErr w:type="spellEnd"/>
      <w:r>
        <w:rPr>
          <w:rFonts w:ascii="Calibri" w:hAnsi="Calibri"/>
        </w:rPr>
        <w:t xml:space="preserve">: </w:t>
      </w:r>
      <w:hyperlink r:id="rId53" w:history="1">
        <w:r>
          <w:rPr>
            <w:rStyle w:val="Hyperlink"/>
            <w:rFonts w:ascii="Calibri" w:hAnsi="Calibri"/>
            <w:color w:val="3333FF"/>
          </w:rPr>
          <w:t>www.sunwater.com.au</w:t>
        </w:r>
      </w:hyperlink>
    </w:p>
    <w:p w:rsidR="005D22E6" w:rsidRDefault="00B91946" w:rsidP="002F3C41">
      <w:pPr>
        <w:pStyle w:val="ListBullet"/>
        <w:numPr>
          <w:ilvl w:val="0"/>
          <w:numId w:val="5"/>
        </w:numPr>
        <w:spacing w:before="80"/>
        <w:ind w:left="448" w:hanging="448"/>
        <w:rPr>
          <w:rFonts w:ascii="Calibri" w:hAnsi="Calibri"/>
        </w:rPr>
      </w:pPr>
      <w:proofErr w:type="spellStart"/>
      <w:r>
        <w:rPr>
          <w:rFonts w:ascii="Calibri" w:hAnsi="Calibri"/>
        </w:rPr>
        <w:t>seqwater</w:t>
      </w:r>
      <w:proofErr w:type="spellEnd"/>
      <w:r>
        <w:rPr>
          <w:rFonts w:ascii="Calibri" w:hAnsi="Calibri"/>
        </w:rPr>
        <w:t xml:space="preserve">: </w:t>
      </w:r>
      <w:hyperlink r:id="rId54" w:history="1">
        <w:r>
          <w:rPr>
            <w:rStyle w:val="Hyperlink"/>
            <w:rFonts w:ascii="Calibri" w:hAnsi="Calibri"/>
            <w:color w:val="3333FF"/>
          </w:rPr>
          <w:t>http://seqwater.com.au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South Australia</w:t>
      </w:r>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SA Water: </w:t>
      </w:r>
      <w:hyperlink r:id="rId55" w:history="1">
        <w:r>
          <w:rPr>
            <w:rStyle w:val="Hyperlink"/>
            <w:rFonts w:ascii="Calibri" w:hAnsi="Calibri"/>
            <w:color w:val="3333FF"/>
          </w:rPr>
          <w:t>www.sawater.com.au/SAWater/Environment/TheRiverMurray/River+Murray+Levels.htm</w:t>
        </w:r>
      </w:hyperlink>
    </w:p>
    <w:p w:rsidR="005D22E6" w:rsidRDefault="00B91946" w:rsidP="002F3C41">
      <w:pPr>
        <w:numPr>
          <w:ilvl w:val="0"/>
          <w:numId w:val="5"/>
        </w:numPr>
        <w:spacing w:before="80" w:line="288" w:lineRule="auto"/>
        <w:ind w:left="448" w:hanging="448"/>
        <w:rPr>
          <w:rFonts w:ascii="Calibri" w:hAnsi="Calibri"/>
          <w:sz w:val="20"/>
        </w:rPr>
      </w:pPr>
      <w:r>
        <w:rPr>
          <w:rFonts w:ascii="Calibri" w:hAnsi="Calibri"/>
          <w:sz w:val="20"/>
        </w:rPr>
        <w:t xml:space="preserve">South Australian Department of Water: </w:t>
      </w:r>
      <w:hyperlink r:id="rId56" w:history="1">
        <w:r>
          <w:rPr>
            <w:rStyle w:val="Hyperlink"/>
            <w:rFonts w:ascii="Calibri" w:hAnsi="Calibri"/>
            <w:color w:val="3333FF"/>
            <w:sz w:val="20"/>
          </w:rPr>
          <w:t>www.waterforgood.sa.gov.au/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Victoria</w:t>
      </w:r>
    </w:p>
    <w:p w:rsidR="005D22E6" w:rsidRDefault="00B91946" w:rsidP="002F3C41">
      <w:pPr>
        <w:pStyle w:val="ListBullet"/>
        <w:numPr>
          <w:ilvl w:val="0"/>
          <w:numId w:val="5"/>
        </w:numPr>
        <w:spacing w:before="80"/>
        <w:ind w:left="448" w:hanging="448"/>
        <w:rPr>
          <w:rFonts w:ascii="Calibri" w:hAnsi="Calibri"/>
          <w:b/>
        </w:rPr>
      </w:pPr>
      <w:r>
        <w:rPr>
          <w:rFonts w:ascii="Calibri" w:hAnsi="Calibri"/>
        </w:rPr>
        <w:t xml:space="preserve">Goulburn–Murray Water: </w:t>
      </w:r>
      <w:hyperlink r:id="rId57" w:history="1">
        <w:r>
          <w:rPr>
            <w:rStyle w:val="Hyperlink"/>
            <w:rFonts w:ascii="Calibri" w:hAnsi="Calibri"/>
            <w:color w:val="3333FF"/>
          </w:rPr>
          <w:t>www.g-mwater.com.au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Water trading</w:t>
      </w:r>
    </w:p>
    <w:p w:rsidR="003C5ACC" w:rsidRDefault="00B91946" w:rsidP="002F3C41">
      <w:pPr>
        <w:pStyle w:val="ListBullet"/>
        <w:numPr>
          <w:ilvl w:val="0"/>
          <w:numId w:val="5"/>
        </w:numPr>
        <w:rPr>
          <w:rFonts w:ascii="Calibri" w:hAnsi="Calibri"/>
        </w:rPr>
      </w:pPr>
      <w:proofErr w:type="spellStart"/>
      <w:r>
        <w:rPr>
          <w:rFonts w:ascii="Calibri" w:hAnsi="Calibri"/>
        </w:rPr>
        <w:t>Waterexchange</w:t>
      </w:r>
      <w:proofErr w:type="spellEnd"/>
      <w:r>
        <w:rPr>
          <w:rFonts w:ascii="Calibri" w:hAnsi="Calibri"/>
        </w:rPr>
        <w:t xml:space="preserve">: </w:t>
      </w:r>
      <w:hyperlink r:id="rId58" w:history="1">
        <w:r>
          <w:rPr>
            <w:rStyle w:val="Hyperlink"/>
            <w:rFonts w:ascii="Calibri" w:hAnsi="Calibri"/>
            <w:color w:val="3333FF"/>
          </w:rPr>
          <w:t>www.waterexchange.com.au</w:t>
        </w:r>
      </w:hyperlink>
    </w:p>
    <w:p w:rsidR="005D22E6" w:rsidRDefault="00B91946">
      <w:pPr>
        <w:pStyle w:val="Heading3"/>
        <w:spacing w:before="0" w:after="60"/>
        <w:rPr>
          <w:rFonts w:ascii="Calibri" w:hAnsi="Calibri" w:cs="Arial"/>
          <w:color w:val="auto"/>
          <w:sz w:val="28"/>
          <w:szCs w:val="28"/>
        </w:rPr>
      </w:pPr>
      <w:r>
        <w:rPr>
          <w:rFonts w:ascii="Calibri" w:hAnsi="Calibri" w:cs="Arial"/>
          <w:color w:val="auto"/>
          <w:sz w:val="28"/>
          <w:szCs w:val="28"/>
        </w:rPr>
        <w:t>Commodities</w:t>
      </w:r>
    </w:p>
    <w:p w:rsidR="005D22E6" w:rsidRDefault="00B91946">
      <w:pPr>
        <w:pStyle w:val="ListBullet"/>
        <w:numPr>
          <w:ilvl w:val="0"/>
          <w:numId w:val="0"/>
        </w:numPr>
        <w:spacing w:before="60"/>
        <w:ind w:left="357" w:hanging="357"/>
        <w:rPr>
          <w:rFonts w:ascii="Calibri" w:hAnsi="Calibri"/>
          <w:b/>
        </w:rPr>
      </w:pPr>
      <w:r>
        <w:rPr>
          <w:rFonts w:ascii="Calibri" w:hAnsi="Calibri"/>
          <w:b/>
        </w:rPr>
        <w:t>Fruit and vegetables</w:t>
      </w:r>
    </w:p>
    <w:p w:rsidR="003C5ACC" w:rsidRDefault="00B91946" w:rsidP="002F3C41">
      <w:pPr>
        <w:pStyle w:val="ListBullet"/>
        <w:numPr>
          <w:ilvl w:val="0"/>
          <w:numId w:val="5"/>
        </w:numPr>
        <w:rPr>
          <w:rFonts w:ascii="Calibri" w:hAnsi="Calibri"/>
          <w:b/>
        </w:rPr>
      </w:pPr>
      <w:proofErr w:type="spellStart"/>
      <w:r>
        <w:rPr>
          <w:rFonts w:ascii="Calibri" w:hAnsi="Calibri"/>
        </w:rPr>
        <w:t>Datafresh</w:t>
      </w:r>
      <w:proofErr w:type="spellEnd"/>
      <w:r>
        <w:rPr>
          <w:rFonts w:ascii="Calibri" w:hAnsi="Calibri"/>
        </w:rPr>
        <w:t xml:space="preserve">: </w:t>
      </w:r>
      <w:hyperlink r:id="rId59" w:history="1">
        <w:r>
          <w:rPr>
            <w:rStyle w:val="Hyperlink"/>
            <w:rFonts w:ascii="Calibri" w:hAnsi="Calibri"/>
            <w:color w:val="3333FF"/>
          </w:rPr>
          <w:t>www.datafresh.com.au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Mutton, lambs, wheat, barley and grain sorghum</w:t>
      </w:r>
    </w:p>
    <w:p w:rsidR="003C5ACC" w:rsidRDefault="00B91946" w:rsidP="002F3C41">
      <w:pPr>
        <w:pStyle w:val="ListBullet"/>
        <w:numPr>
          <w:ilvl w:val="0"/>
          <w:numId w:val="5"/>
        </w:numPr>
        <w:rPr>
          <w:rFonts w:ascii="Calibri" w:hAnsi="Calibri"/>
          <w:b/>
        </w:rPr>
      </w:pPr>
      <w:r>
        <w:rPr>
          <w:rFonts w:ascii="Calibri" w:hAnsi="Calibri"/>
        </w:rPr>
        <w:t xml:space="preserve">The Land: hardcopy or online at </w:t>
      </w:r>
      <w:hyperlink r:id="rId60" w:history="1">
        <w:r>
          <w:rPr>
            <w:rStyle w:val="Hyperlink"/>
            <w:rFonts w:ascii="Calibri" w:hAnsi="Calibri"/>
            <w:color w:val="3333FF"/>
          </w:rPr>
          <w:t>http://theland.farmonline.com.au/markets.aspx</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Cattle, mutton, lambs and pigs</w:t>
      </w:r>
    </w:p>
    <w:p w:rsidR="003C5ACC" w:rsidRDefault="00B91946" w:rsidP="002F3C41">
      <w:pPr>
        <w:pStyle w:val="ListBullet"/>
        <w:numPr>
          <w:ilvl w:val="0"/>
          <w:numId w:val="5"/>
        </w:numPr>
        <w:rPr>
          <w:rFonts w:ascii="Calibri" w:hAnsi="Calibri"/>
          <w:b/>
        </w:rPr>
      </w:pPr>
      <w:r>
        <w:rPr>
          <w:rFonts w:ascii="Calibri" w:hAnsi="Calibri"/>
        </w:rPr>
        <w:t xml:space="preserve">Meat and Livestock Australia: </w:t>
      </w:r>
      <w:hyperlink r:id="rId61" w:history="1">
        <w:r>
          <w:rPr>
            <w:rStyle w:val="Hyperlink"/>
            <w:rFonts w:ascii="Calibri" w:hAnsi="Calibri"/>
            <w:color w:val="3333FF"/>
          </w:rPr>
          <w:t>www.mla.com.au/Prices-and-markets</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Canola</w:t>
      </w:r>
    </w:p>
    <w:p w:rsidR="005D22E6" w:rsidRDefault="00B91946" w:rsidP="002F3C41">
      <w:pPr>
        <w:pStyle w:val="ListBullet"/>
        <w:numPr>
          <w:ilvl w:val="0"/>
          <w:numId w:val="5"/>
        </w:numPr>
        <w:rPr>
          <w:rFonts w:ascii="Calibri" w:hAnsi="Calibri"/>
        </w:rPr>
      </w:pPr>
      <w:r>
        <w:rPr>
          <w:rFonts w:ascii="Calibri" w:hAnsi="Calibri"/>
        </w:rPr>
        <w:t>Weekly Times: hardcopy</w:t>
      </w:r>
    </w:p>
    <w:p w:rsidR="005D22E6" w:rsidRPr="00FD78D7" w:rsidRDefault="005D22E6">
      <w:pPr>
        <w:pStyle w:val="Heading3"/>
        <w:keepNext w:val="0"/>
        <w:keepLines w:val="0"/>
        <w:widowControl w:val="0"/>
        <w:spacing w:before="0" w:line="276" w:lineRule="auto"/>
        <w:rPr>
          <w:rFonts w:cs="Arial"/>
          <w:color w:val="auto"/>
          <w:sz w:val="22"/>
          <w:szCs w:val="22"/>
        </w:rPr>
      </w:pPr>
    </w:p>
    <w:sectPr w:rsidR="005D22E6" w:rsidRPr="00FD78D7" w:rsidSect="003C5ACC">
      <w:pgSz w:w="11906" w:h="16838"/>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7D" w:rsidRDefault="00B5217D">
      <w:r>
        <w:separator/>
      </w:r>
    </w:p>
  </w:endnote>
  <w:endnote w:type="continuationSeparator" w:id="0">
    <w:p w:rsidR="00B5217D" w:rsidRDefault="00B52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7D" w:rsidRDefault="00B5217D">
    <w:pPr>
      <w:pStyle w:val="Footer"/>
    </w:pPr>
  </w:p>
  <w:p w:rsidR="00B5217D" w:rsidRDefault="00B52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7D" w:rsidRDefault="00B5217D">
    <w:pPr>
      <w:pStyle w:val="Footer"/>
      <w:pBdr>
        <w:top w:val="single" w:sz="4" w:space="1" w:color="auto"/>
      </w:pBdr>
      <w:jc w:val="center"/>
      <w:rPr>
        <w:rFonts w:ascii="Arial" w:hAnsi="Arial" w:cs="Arial"/>
        <w:sz w:val="20"/>
        <w:szCs w:val="20"/>
      </w:rPr>
    </w:pPr>
    <w:r>
      <w:rPr>
        <w:rFonts w:ascii="Arial" w:hAnsi="Arial" w:cs="Arial"/>
        <w:sz w:val="20"/>
        <w:szCs w:val="20"/>
      </w:rPr>
      <w:t xml:space="preserve">For more information or to subscribe, email </w:t>
    </w:r>
    <w:hyperlink r:id="rId1" w:history="1">
      <w:r>
        <w:rPr>
          <w:rStyle w:val="Hyperlink"/>
          <w:rFonts w:ascii="Arial" w:hAnsi="Arial" w:cs="Arial"/>
          <w:sz w:val="20"/>
          <w:szCs w:val="20"/>
        </w:rPr>
        <w:t>ClimateUpdate@daff.gov.au</w:t>
      </w:r>
    </w:hyperlink>
  </w:p>
  <w:p w:rsidR="00B5217D" w:rsidRDefault="00B5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7D" w:rsidRDefault="00B5217D">
      <w:r>
        <w:separator/>
      </w:r>
    </w:p>
  </w:footnote>
  <w:footnote w:type="continuationSeparator" w:id="0">
    <w:p w:rsidR="00B5217D" w:rsidRDefault="00B52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pt;height:2.3pt;visibility:visible" o:bullet="t">
        <v:imagedata r:id="rId1" o:title=""/>
      </v:shape>
    </w:pict>
  </w:numPicBullet>
  <w:abstractNum w:abstractNumId="0">
    <w:nsid w:val="05B77336"/>
    <w:multiLevelType w:val="multilevel"/>
    <w:tmpl w:val="B7388CC4"/>
    <w:lvl w:ilvl="0">
      <w:start w:val="1"/>
      <w:numFmt w:val="bullet"/>
      <w:lvlText w:val=""/>
      <w:lvlJc w:val="left"/>
      <w:pPr>
        <w:ind w:left="450" w:hanging="450"/>
      </w:pPr>
      <w:rPr>
        <w:rFonts w:ascii="Symbol" w:hAnsi="Symbol" w:hint="default"/>
        <w:color w:val="auto"/>
        <w:sz w:val="24"/>
        <w:szCs w:val="24"/>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169431C"/>
    <w:multiLevelType w:val="hybridMultilevel"/>
    <w:tmpl w:val="A0648E78"/>
    <w:lvl w:ilvl="0" w:tplc="38604B6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2B6211D"/>
    <w:multiLevelType w:val="hybridMultilevel"/>
    <w:tmpl w:val="FEFA8940"/>
    <w:lvl w:ilvl="0" w:tplc="DBF4A0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7A14E6B"/>
    <w:multiLevelType w:val="hybridMultilevel"/>
    <w:tmpl w:val="641E3EEA"/>
    <w:lvl w:ilvl="0" w:tplc="0FF457B2">
      <w:start w:val="1"/>
      <w:numFmt w:val="bullet"/>
      <w:lvlText w:val=""/>
      <w:lvlPicBulletId w:val="0"/>
      <w:lvlJc w:val="left"/>
      <w:pPr>
        <w:tabs>
          <w:tab w:val="num" w:pos="720"/>
        </w:tabs>
        <w:ind w:left="720" w:hanging="360"/>
      </w:pPr>
      <w:rPr>
        <w:rFonts w:ascii="Symbol" w:hAnsi="Symbol" w:hint="default"/>
      </w:rPr>
    </w:lvl>
    <w:lvl w:ilvl="1" w:tplc="BCE887B2" w:tentative="1">
      <w:start w:val="1"/>
      <w:numFmt w:val="bullet"/>
      <w:lvlText w:val=""/>
      <w:lvlJc w:val="left"/>
      <w:pPr>
        <w:tabs>
          <w:tab w:val="num" w:pos="1440"/>
        </w:tabs>
        <w:ind w:left="1440" w:hanging="360"/>
      </w:pPr>
      <w:rPr>
        <w:rFonts w:ascii="Symbol" w:hAnsi="Symbol" w:hint="default"/>
      </w:rPr>
    </w:lvl>
    <w:lvl w:ilvl="2" w:tplc="32C4EE76" w:tentative="1">
      <w:start w:val="1"/>
      <w:numFmt w:val="bullet"/>
      <w:lvlText w:val=""/>
      <w:lvlJc w:val="left"/>
      <w:pPr>
        <w:tabs>
          <w:tab w:val="num" w:pos="2160"/>
        </w:tabs>
        <w:ind w:left="2160" w:hanging="360"/>
      </w:pPr>
      <w:rPr>
        <w:rFonts w:ascii="Symbol" w:hAnsi="Symbol" w:hint="default"/>
      </w:rPr>
    </w:lvl>
    <w:lvl w:ilvl="3" w:tplc="D2BE6744" w:tentative="1">
      <w:start w:val="1"/>
      <w:numFmt w:val="bullet"/>
      <w:lvlText w:val=""/>
      <w:lvlJc w:val="left"/>
      <w:pPr>
        <w:tabs>
          <w:tab w:val="num" w:pos="2880"/>
        </w:tabs>
        <w:ind w:left="2880" w:hanging="360"/>
      </w:pPr>
      <w:rPr>
        <w:rFonts w:ascii="Symbol" w:hAnsi="Symbol" w:hint="default"/>
      </w:rPr>
    </w:lvl>
    <w:lvl w:ilvl="4" w:tplc="03C4DEB2" w:tentative="1">
      <w:start w:val="1"/>
      <w:numFmt w:val="bullet"/>
      <w:lvlText w:val=""/>
      <w:lvlJc w:val="left"/>
      <w:pPr>
        <w:tabs>
          <w:tab w:val="num" w:pos="3600"/>
        </w:tabs>
        <w:ind w:left="3600" w:hanging="360"/>
      </w:pPr>
      <w:rPr>
        <w:rFonts w:ascii="Symbol" w:hAnsi="Symbol" w:hint="default"/>
      </w:rPr>
    </w:lvl>
    <w:lvl w:ilvl="5" w:tplc="049ACA1C" w:tentative="1">
      <w:start w:val="1"/>
      <w:numFmt w:val="bullet"/>
      <w:lvlText w:val=""/>
      <w:lvlJc w:val="left"/>
      <w:pPr>
        <w:tabs>
          <w:tab w:val="num" w:pos="4320"/>
        </w:tabs>
        <w:ind w:left="4320" w:hanging="360"/>
      </w:pPr>
      <w:rPr>
        <w:rFonts w:ascii="Symbol" w:hAnsi="Symbol" w:hint="default"/>
      </w:rPr>
    </w:lvl>
    <w:lvl w:ilvl="6" w:tplc="2E6082B2" w:tentative="1">
      <w:start w:val="1"/>
      <w:numFmt w:val="bullet"/>
      <w:lvlText w:val=""/>
      <w:lvlJc w:val="left"/>
      <w:pPr>
        <w:tabs>
          <w:tab w:val="num" w:pos="5040"/>
        </w:tabs>
        <w:ind w:left="5040" w:hanging="360"/>
      </w:pPr>
      <w:rPr>
        <w:rFonts w:ascii="Symbol" w:hAnsi="Symbol" w:hint="default"/>
      </w:rPr>
    </w:lvl>
    <w:lvl w:ilvl="7" w:tplc="7B9A46F2" w:tentative="1">
      <w:start w:val="1"/>
      <w:numFmt w:val="bullet"/>
      <w:lvlText w:val=""/>
      <w:lvlJc w:val="left"/>
      <w:pPr>
        <w:tabs>
          <w:tab w:val="num" w:pos="5760"/>
        </w:tabs>
        <w:ind w:left="5760" w:hanging="360"/>
      </w:pPr>
      <w:rPr>
        <w:rFonts w:ascii="Symbol" w:hAnsi="Symbol" w:hint="default"/>
      </w:rPr>
    </w:lvl>
    <w:lvl w:ilvl="8" w:tplc="21CE4E6E" w:tentative="1">
      <w:start w:val="1"/>
      <w:numFmt w:val="bullet"/>
      <w:lvlText w:val=""/>
      <w:lvlJc w:val="left"/>
      <w:pPr>
        <w:tabs>
          <w:tab w:val="num" w:pos="6480"/>
        </w:tabs>
        <w:ind w:left="6480" w:hanging="360"/>
      </w:pPr>
      <w:rPr>
        <w:rFonts w:ascii="Symbol" w:hAnsi="Symbol" w:hint="default"/>
      </w:rPr>
    </w:lvl>
  </w:abstractNum>
  <w:abstractNum w:abstractNumId="4">
    <w:nsid w:val="394B2FB3"/>
    <w:multiLevelType w:val="multilevel"/>
    <w:tmpl w:val="2F88E042"/>
    <w:lvl w:ilvl="0">
      <w:start w:val="1"/>
      <w:numFmt w:val="bullet"/>
      <w:pStyle w:val="ListBullet"/>
      <w:lvlText w:val=""/>
      <w:lvlJc w:val="left"/>
      <w:pPr>
        <w:tabs>
          <w:tab w:val="num" w:pos="360"/>
        </w:tabs>
        <w:ind w:left="360" w:hanging="360"/>
      </w:pPr>
      <w:rPr>
        <w:rFonts w:ascii="Symbol" w:hAnsi="Symbol"/>
        <w:color w:val="auto"/>
        <w:sz w:val="24"/>
      </w:rPr>
    </w:lvl>
    <w:lvl w:ilvl="1">
      <w:start w:val="1"/>
      <w:numFmt w:val="decimal"/>
      <w:lvlText w:val="%2."/>
      <w:lvlJc w:val="left"/>
      <w:pPr>
        <w:tabs>
          <w:tab w:val="num" w:pos="1083"/>
        </w:tabs>
        <w:ind w:left="1083" w:hanging="360"/>
      </w:pPr>
      <w:rPr>
        <w:rFonts w:cs="Times New Roman"/>
      </w:rPr>
    </w:lvl>
    <w:lvl w:ilvl="2">
      <w:start w:val="1"/>
      <w:numFmt w:val="decimal"/>
      <w:lvlText w:val="%3."/>
      <w:lvlJc w:val="left"/>
      <w:pPr>
        <w:tabs>
          <w:tab w:val="num" w:pos="1803"/>
        </w:tabs>
        <w:ind w:left="1803" w:hanging="360"/>
      </w:pPr>
      <w:rPr>
        <w:rFonts w:cs="Times New Roman"/>
      </w:rPr>
    </w:lvl>
    <w:lvl w:ilvl="3">
      <w:start w:val="1"/>
      <w:numFmt w:val="decimal"/>
      <w:lvlText w:val="%4."/>
      <w:lvlJc w:val="left"/>
      <w:pPr>
        <w:tabs>
          <w:tab w:val="num" w:pos="2523"/>
        </w:tabs>
        <w:ind w:left="2523" w:hanging="360"/>
      </w:pPr>
      <w:rPr>
        <w:rFonts w:cs="Times New Roman"/>
      </w:rPr>
    </w:lvl>
    <w:lvl w:ilvl="4">
      <w:start w:val="1"/>
      <w:numFmt w:val="decimal"/>
      <w:lvlText w:val="%5."/>
      <w:lvlJc w:val="left"/>
      <w:pPr>
        <w:tabs>
          <w:tab w:val="num" w:pos="3243"/>
        </w:tabs>
        <w:ind w:left="3243" w:hanging="360"/>
      </w:pPr>
      <w:rPr>
        <w:rFonts w:cs="Times New Roman"/>
      </w:rPr>
    </w:lvl>
    <w:lvl w:ilvl="5">
      <w:start w:val="1"/>
      <w:numFmt w:val="decimal"/>
      <w:lvlText w:val="%6."/>
      <w:lvlJc w:val="left"/>
      <w:pPr>
        <w:tabs>
          <w:tab w:val="num" w:pos="3963"/>
        </w:tabs>
        <w:ind w:left="3963" w:hanging="360"/>
      </w:pPr>
      <w:rPr>
        <w:rFonts w:cs="Times New Roman"/>
      </w:rPr>
    </w:lvl>
    <w:lvl w:ilvl="6">
      <w:start w:val="1"/>
      <w:numFmt w:val="decimal"/>
      <w:lvlText w:val="%7."/>
      <w:lvlJc w:val="left"/>
      <w:pPr>
        <w:tabs>
          <w:tab w:val="num" w:pos="4683"/>
        </w:tabs>
        <w:ind w:left="4683" w:hanging="360"/>
      </w:pPr>
      <w:rPr>
        <w:rFonts w:cs="Times New Roman"/>
      </w:rPr>
    </w:lvl>
    <w:lvl w:ilvl="7">
      <w:start w:val="1"/>
      <w:numFmt w:val="decimal"/>
      <w:lvlText w:val="%8."/>
      <w:lvlJc w:val="left"/>
      <w:pPr>
        <w:tabs>
          <w:tab w:val="num" w:pos="5403"/>
        </w:tabs>
        <w:ind w:left="5403" w:hanging="360"/>
      </w:pPr>
      <w:rPr>
        <w:rFonts w:cs="Times New Roman"/>
      </w:rPr>
    </w:lvl>
    <w:lvl w:ilvl="8">
      <w:start w:val="1"/>
      <w:numFmt w:val="decimal"/>
      <w:lvlText w:val="%9."/>
      <w:lvlJc w:val="left"/>
      <w:pPr>
        <w:tabs>
          <w:tab w:val="num" w:pos="6123"/>
        </w:tabs>
        <w:ind w:left="6123" w:hanging="360"/>
      </w:pPr>
      <w:rPr>
        <w:rFonts w:cs="Times New Roman"/>
      </w:rPr>
    </w:lvl>
  </w:abstractNum>
  <w:abstractNum w:abstractNumId="5">
    <w:nsid w:val="5AC33B48"/>
    <w:multiLevelType w:val="hybridMultilevel"/>
    <w:tmpl w:val="17FC66E2"/>
    <w:lvl w:ilvl="0" w:tplc="77126EDE">
      <w:start w:val="1"/>
      <w:numFmt w:val="decimal"/>
      <w:pStyle w:val="Heading1"/>
      <w:lvlText w:val="%1"/>
      <w:lvlJc w:val="left"/>
      <w:pPr>
        <w:ind w:left="4897"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6">
    <w:nsid w:val="5E163513"/>
    <w:multiLevelType w:val="multilevel"/>
    <w:tmpl w:val="45AAF78A"/>
    <w:lvl w:ilvl="0">
      <w:start w:val="1"/>
      <w:numFmt w:val="bullet"/>
      <w:lvlText w:val=""/>
      <w:lvlJc w:val="left"/>
      <w:pPr>
        <w:ind w:left="450" w:hanging="450"/>
      </w:pPr>
      <w:rPr>
        <w:rFonts w:ascii="Symbol" w:hAnsi="Symbol"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A6917B5"/>
    <w:multiLevelType w:val="multilevel"/>
    <w:tmpl w:val="EB164310"/>
    <w:lvl w:ilvl="0">
      <w:start w:val="1"/>
      <w:numFmt w:val="decimal"/>
      <w:lvlText w:val="%1."/>
      <w:lvlJc w:val="left"/>
      <w:pPr>
        <w:ind w:left="360" w:hanging="360"/>
      </w:pPr>
      <w:rPr>
        <w:rFonts w:ascii="Cambria" w:hAnsi="Cambria" w:cs="Arial" w:hint="default"/>
        <w:color w:val="auto"/>
        <w:sz w:val="34"/>
        <w:szCs w:val="34"/>
      </w:rPr>
    </w:lvl>
    <w:lvl w:ilvl="1">
      <w:start w:val="1"/>
      <w:numFmt w:val="decimal"/>
      <w:lvlText w:val="%1.%2."/>
      <w:lvlJc w:val="left"/>
      <w:pPr>
        <w:ind w:left="432" w:hanging="432"/>
      </w:pPr>
      <w:rPr>
        <w:rFonts w:ascii="Cambria" w:hAnsi="Cambria"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2F1280"/>
    <w:multiLevelType w:val="hybridMultilevel"/>
    <w:tmpl w:val="F7BEE1A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cVars>
    <w:docVar w:name="_AMO_XmlVersion" w:val="Empty"/>
  </w:docVars>
  <w:rsids>
    <w:rsidRoot w:val="003C5ACC"/>
    <w:rsid w:val="00000FBB"/>
    <w:rsid w:val="000102E2"/>
    <w:rsid w:val="00012296"/>
    <w:rsid w:val="00012A4E"/>
    <w:rsid w:val="000141DF"/>
    <w:rsid w:val="0001485D"/>
    <w:rsid w:val="00021AD9"/>
    <w:rsid w:val="00027568"/>
    <w:rsid w:val="00027D2B"/>
    <w:rsid w:val="00027E81"/>
    <w:rsid w:val="00032824"/>
    <w:rsid w:val="00033D8D"/>
    <w:rsid w:val="0003679C"/>
    <w:rsid w:val="00036B45"/>
    <w:rsid w:val="00036C7F"/>
    <w:rsid w:val="000379CA"/>
    <w:rsid w:val="00041A7D"/>
    <w:rsid w:val="00042D96"/>
    <w:rsid w:val="0004547E"/>
    <w:rsid w:val="00045B79"/>
    <w:rsid w:val="00046975"/>
    <w:rsid w:val="0004728F"/>
    <w:rsid w:val="000523EC"/>
    <w:rsid w:val="000525F9"/>
    <w:rsid w:val="00054273"/>
    <w:rsid w:val="00054C36"/>
    <w:rsid w:val="000558C5"/>
    <w:rsid w:val="00056322"/>
    <w:rsid w:val="000566E2"/>
    <w:rsid w:val="00057331"/>
    <w:rsid w:val="0006094D"/>
    <w:rsid w:val="00060B30"/>
    <w:rsid w:val="000623E9"/>
    <w:rsid w:val="00062CC9"/>
    <w:rsid w:val="00067D40"/>
    <w:rsid w:val="00072991"/>
    <w:rsid w:val="00077E73"/>
    <w:rsid w:val="00082C1D"/>
    <w:rsid w:val="00082D65"/>
    <w:rsid w:val="00083886"/>
    <w:rsid w:val="000842C3"/>
    <w:rsid w:val="00084E2F"/>
    <w:rsid w:val="000854A0"/>
    <w:rsid w:val="00085C6E"/>
    <w:rsid w:val="0008612E"/>
    <w:rsid w:val="00087BB2"/>
    <w:rsid w:val="000902CD"/>
    <w:rsid w:val="00090CD3"/>
    <w:rsid w:val="00090F54"/>
    <w:rsid w:val="00092BDC"/>
    <w:rsid w:val="0009386F"/>
    <w:rsid w:val="0009560C"/>
    <w:rsid w:val="00095D42"/>
    <w:rsid w:val="00096852"/>
    <w:rsid w:val="000A0247"/>
    <w:rsid w:val="000A05FF"/>
    <w:rsid w:val="000A106D"/>
    <w:rsid w:val="000A5249"/>
    <w:rsid w:val="000A609A"/>
    <w:rsid w:val="000A6FEC"/>
    <w:rsid w:val="000A7395"/>
    <w:rsid w:val="000B3240"/>
    <w:rsid w:val="000B3694"/>
    <w:rsid w:val="000B7A85"/>
    <w:rsid w:val="000C018C"/>
    <w:rsid w:val="000C1468"/>
    <w:rsid w:val="000C3549"/>
    <w:rsid w:val="000C7D1E"/>
    <w:rsid w:val="000D4337"/>
    <w:rsid w:val="000D5A87"/>
    <w:rsid w:val="000D6828"/>
    <w:rsid w:val="000D72D3"/>
    <w:rsid w:val="000E0108"/>
    <w:rsid w:val="000F0346"/>
    <w:rsid w:val="000F2B06"/>
    <w:rsid w:val="000F33B7"/>
    <w:rsid w:val="000F34C7"/>
    <w:rsid w:val="000F38DD"/>
    <w:rsid w:val="000F77CF"/>
    <w:rsid w:val="000F7939"/>
    <w:rsid w:val="00100C8B"/>
    <w:rsid w:val="0011056D"/>
    <w:rsid w:val="00111D2A"/>
    <w:rsid w:val="00111E96"/>
    <w:rsid w:val="00112CA7"/>
    <w:rsid w:val="00117FF6"/>
    <w:rsid w:val="001200AD"/>
    <w:rsid w:val="00122D7E"/>
    <w:rsid w:val="001230CD"/>
    <w:rsid w:val="001306ED"/>
    <w:rsid w:val="0013106E"/>
    <w:rsid w:val="00132440"/>
    <w:rsid w:val="00132B39"/>
    <w:rsid w:val="0013334C"/>
    <w:rsid w:val="00135F57"/>
    <w:rsid w:val="001370E3"/>
    <w:rsid w:val="00140A8F"/>
    <w:rsid w:val="00145359"/>
    <w:rsid w:val="00145E51"/>
    <w:rsid w:val="0014629A"/>
    <w:rsid w:val="00146EC6"/>
    <w:rsid w:val="00147EBF"/>
    <w:rsid w:val="00153FDD"/>
    <w:rsid w:val="00154E93"/>
    <w:rsid w:val="001552D7"/>
    <w:rsid w:val="00157FA6"/>
    <w:rsid w:val="00162E16"/>
    <w:rsid w:val="00164674"/>
    <w:rsid w:val="00165DD7"/>
    <w:rsid w:val="00166ED5"/>
    <w:rsid w:val="00167A3D"/>
    <w:rsid w:val="00173195"/>
    <w:rsid w:val="001837A7"/>
    <w:rsid w:val="00184D74"/>
    <w:rsid w:val="001943AB"/>
    <w:rsid w:val="00197CED"/>
    <w:rsid w:val="001A00A3"/>
    <w:rsid w:val="001A156E"/>
    <w:rsid w:val="001A1735"/>
    <w:rsid w:val="001A1DDC"/>
    <w:rsid w:val="001A4066"/>
    <w:rsid w:val="001A5985"/>
    <w:rsid w:val="001A6F5B"/>
    <w:rsid w:val="001A76BE"/>
    <w:rsid w:val="001B0660"/>
    <w:rsid w:val="001B069B"/>
    <w:rsid w:val="001B5A5B"/>
    <w:rsid w:val="001B5F03"/>
    <w:rsid w:val="001C43D3"/>
    <w:rsid w:val="001C5374"/>
    <w:rsid w:val="001C5776"/>
    <w:rsid w:val="001D4C18"/>
    <w:rsid w:val="001D4CDD"/>
    <w:rsid w:val="001D6BA9"/>
    <w:rsid w:val="001E12B2"/>
    <w:rsid w:val="001E1B98"/>
    <w:rsid w:val="001E3F04"/>
    <w:rsid w:val="001E5731"/>
    <w:rsid w:val="001F0200"/>
    <w:rsid w:val="001F191B"/>
    <w:rsid w:val="001F6D8B"/>
    <w:rsid w:val="002006D1"/>
    <w:rsid w:val="0020223B"/>
    <w:rsid w:val="00202B55"/>
    <w:rsid w:val="00203153"/>
    <w:rsid w:val="0020328E"/>
    <w:rsid w:val="00211B14"/>
    <w:rsid w:val="0021315C"/>
    <w:rsid w:val="00214C7E"/>
    <w:rsid w:val="00216694"/>
    <w:rsid w:val="00216BF3"/>
    <w:rsid w:val="00227B65"/>
    <w:rsid w:val="00230274"/>
    <w:rsid w:val="002305D2"/>
    <w:rsid w:val="00230E7E"/>
    <w:rsid w:val="00234FEA"/>
    <w:rsid w:val="00236005"/>
    <w:rsid w:val="00241831"/>
    <w:rsid w:val="00243740"/>
    <w:rsid w:val="0025034A"/>
    <w:rsid w:val="00250C1B"/>
    <w:rsid w:val="00251F96"/>
    <w:rsid w:val="00253648"/>
    <w:rsid w:val="002562F4"/>
    <w:rsid w:val="00260653"/>
    <w:rsid w:val="00262062"/>
    <w:rsid w:val="00262914"/>
    <w:rsid w:val="0026338B"/>
    <w:rsid w:val="00265473"/>
    <w:rsid w:val="0026653C"/>
    <w:rsid w:val="002718CF"/>
    <w:rsid w:val="00272236"/>
    <w:rsid w:val="00275166"/>
    <w:rsid w:val="00276FE3"/>
    <w:rsid w:val="002801CC"/>
    <w:rsid w:val="0028345F"/>
    <w:rsid w:val="00283777"/>
    <w:rsid w:val="00283A4C"/>
    <w:rsid w:val="0028565C"/>
    <w:rsid w:val="002902C4"/>
    <w:rsid w:val="00290C13"/>
    <w:rsid w:val="00291E26"/>
    <w:rsid w:val="002938F4"/>
    <w:rsid w:val="00293CDE"/>
    <w:rsid w:val="002943D7"/>
    <w:rsid w:val="002944BF"/>
    <w:rsid w:val="002A10D3"/>
    <w:rsid w:val="002A261F"/>
    <w:rsid w:val="002A28FD"/>
    <w:rsid w:val="002A3714"/>
    <w:rsid w:val="002A6336"/>
    <w:rsid w:val="002B01D0"/>
    <w:rsid w:val="002B134B"/>
    <w:rsid w:val="002B33D9"/>
    <w:rsid w:val="002B3FAF"/>
    <w:rsid w:val="002B7772"/>
    <w:rsid w:val="002C4368"/>
    <w:rsid w:val="002C46F2"/>
    <w:rsid w:val="002C4B61"/>
    <w:rsid w:val="002C73D2"/>
    <w:rsid w:val="002C7652"/>
    <w:rsid w:val="002D0422"/>
    <w:rsid w:val="002D3487"/>
    <w:rsid w:val="002D455B"/>
    <w:rsid w:val="002D5793"/>
    <w:rsid w:val="002D5949"/>
    <w:rsid w:val="002D63DB"/>
    <w:rsid w:val="002D6BC2"/>
    <w:rsid w:val="002E0082"/>
    <w:rsid w:val="002E26DD"/>
    <w:rsid w:val="002E2C2C"/>
    <w:rsid w:val="002E3913"/>
    <w:rsid w:val="002F18B5"/>
    <w:rsid w:val="002F1C07"/>
    <w:rsid w:val="002F1F4F"/>
    <w:rsid w:val="002F3C41"/>
    <w:rsid w:val="002F3D02"/>
    <w:rsid w:val="002F5658"/>
    <w:rsid w:val="002F6C76"/>
    <w:rsid w:val="002F6CE3"/>
    <w:rsid w:val="003000B2"/>
    <w:rsid w:val="003024FA"/>
    <w:rsid w:val="00302D08"/>
    <w:rsid w:val="003035D9"/>
    <w:rsid w:val="00303C16"/>
    <w:rsid w:val="00304954"/>
    <w:rsid w:val="0030567E"/>
    <w:rsid w:val="003063CA"/>
    <w:rsid w:val="003075D0"/>
    <w:rsid w:val="003108BA"/>
    <w:rsid w:val="00310B15"/>
    <w:rsid w:val="0031181D"/>
    <w:rsid w:val="00311E2C"/>
    <w:rsid w:val="00315B62"/>
    <w:rsid w:val="003178EC"/>
    <w:rsid w:val="00321107"/>
    <w:rsid w:val="00321B87"/>
    <w:rsid w:val="003241FD"/>
    <w:rsid w:val="003268DF"/>
    <w:rsid w:val="00330B1E"/>
    <w:rsid w:val="00332D30"/>
    <w:rsid w:val="00333CCC"/>
    <w:rsid w:val="00333DF5"/>
    <w:rsid w:val="00334D60"/>
    <w:rsid w:val="00335EBA"/>
    <w:rsid w:val="003366BC"/>
    <w:rsid w:val="00341C83"/>
    <w:rsid w:val="0034241E"/>
    <w:rsid w:val="00343D75"/>
    <w:rsid w:val="003448C6"/>
    <w:rsid w:val="00351E49"/>
    <w:rsid w:val="003525C4"/>
    <w:rsid w:val="0035434C"/>
    <w:rsid w:val="00354A82"/>
    <w:rsid w:val="00356A1D"/>
    <w:rsid w:val="00360E83"/>
    <w:rsid w:val="00364013"/>
    <w:rsid w:val="003709D9"/>
    <w:rsid w:val="00372DB0"/>
    <w:rsid w:val="00373468"/>
    <w:rsid w:val="00373ADE"/>
    <w:rsid w:val="00373CFD"/>
    <w:rsid w:val="00373D15"/>
    <w:rsid w:val="00375AD9"/>
    <w:rsid w:val="00375D29"/>
    <w:rsid w:val="00376DBC"/>
    <w:rsid w:val="00380BC0"/>
    <w:rsid w:val="00382C01"/>
    <w:rsid w:val="0038516C"/>
    <w:rsid w:val="003853D9"/>
    <w:rsid w:val="00390E57"/>
    <w:rsid w:val="0039158E"/>
    <w:rsid w:val="00392091"/>
    <w:rsid w:val="00394BF1"/>
    <w:rsid w:val="0039708E"/>
    <w:rsid w:val="0039793E"/>
    <w:rsid w:val="003A07D8"/>
    <w:rsid w:val="003A14B3"/>
    <w:rsid w:val="003A1E87"/>
    <w:rsid w:val="003A259F"/>
    <w:rsid w:val="003A457F"/>
    <w:rsid w:val="003A7A71"/>
    <w:rsid w:val="003B191D"/>
    <w:rsid w:val="003B32CA"/>
    <w:rsid w:val="003B510F"/>
    <w:rsid w:val="003B5A71"/>
    <w:rsid w:val="003C24B7"/>
    <w:rsid w:val="003C38F0"/>
    <w:rsid w:val="003C3F8E"/>
    <w:rsid w:val="003C4702"/>
    <w:rsid w:val="003C4FAE"/>
    <w:rsid w:val="003C5ACC"/>
    <w:rsid w:val="003C69E3"/>
    <w:rsid w:val="003C6C5A"/>
    <w:rsid w:val="003C7222"/>
    <w:rsid w:val="003D303B"/>
    <w:rsid w:val="003D3E52"/>
    <w:rsid w:val="003D4861"/>
    <w:rsid w:val="003D650D"/>
    <w:rsid w:val="003D6839"/>
    <w:rsid w:val="003D6CE0"/>
    <w:rsid w:val="003D6CFF"/>
    <w:rsid w:val="003D7B8B"/>
    <w:rsid w:val="003E0EF3"/>
    <w:rsid w:val="003E5A63"/>
    <w:rsid w:val="003E7D0E"/>
    <w:rsid w:val="003F186E"/>
    <w:rsid w:val="003F404E"/>
    <w:rsid w:val="003F5AC7"/>
    <w:rsid w:val="003F62F0"/>
    <w:rsid w:val="003F7E42"/>
    <w:rsid w:val="00401D8E"/>
    <w:rsid w:val="0040728B"/>
    <w:rsid w:val="00411511"/>
    <w:rsid w:val="004138ED"/>
    <w:rsid w:val="00414BD4"/>
    <w:rsid w:val="00415D21"/>
    <w:rsid w:val="00420AAD"/>
    <w:rsid w:val="00422ABF"/>
    <w:rsid w:val="0042399E"/>
    <w:rsid w:val="00424E71"/>
    <w:rsid w:val="00425B7A"/>
    <w:rsid w:val="0042715D"/>
    <w:rsid w:val="004272A8"/>
    <w:rsid w:val="00433D0B"/>
    <w:rsid w:val="00435035"/>
    <w:rsid w:val="00435D66"/>
    <w:rsid w:val="00436323"/>
    <w:rsid w:val="004370A0"/>
    <w:rsid w:val="004418D0"/>
    <w:rsid w:val="00443486"/>
    <w:rsid w:val="00444069"/>
    <w:rsid w:val="004442BF"/>
    <w:rsid w:val="00444880"/>
    <w:rsid w:val="00452372"/>
    <w:rsid w:val="00452C8D"/>
    <w:rsid w:val="004554A4"/>
    <w:rsid w:val="004568AB"/>
    <w:rsid w:val="004579B1"/>
    <w:rsid w:val="0046179C"/>
    <w:rsid w:val="004620F2"/>
    <w:rsid w:val="004633C4"/>
    <w:rsid w:val="004649E1"/>
    <w:rsid w:val="004659AE"/>
    <w:rsid w:val="00466085"/>
    <w:rsid w:val="00471F83"/>
    <w:rsid w:val="0047246F"/>
    <w:rsid w:val="00473227"/>
    <w:rsid w:val="0047346F"/>
    <w:rsid w:val="00475959"/>
    <w:rsid w:val="00485293"/>
    <w:rsid w:val="00487A78"/>
    <w:rsid w:val="004902EA"/>
    <w:rsid w:val="004912E4"/>
    <w:rsid w:val="00491DF0"/>
    <w:rsid w:val="00492C69"/>
    <w:rsid w:val="00494DDB"/>
    <w:rsid w:val="0049558D"/>
    <w:rsid w:val="00496BA7"/>
    <w:rsid w:val="0049722C"/>
    <w:rsid w:val="004A0C76"/>
    <w:rsid w:val="004A0DB9"/>
    <w:rsid w:val="004A2CD4"/>
    <w:rsid w:val="004A64B6"/>
    <w:rsid w:val="004A66CF"/>
    <w:rsid w:val="004A74A6"/>
    <w:rsid w:val="004B0991"/>
    <w:rsid w:val="004B3846"/>
    <w:rsid w:val="004C2881"/>
    <w:rsid w:val="004C5F97"/>
    <w:rsid w:val="004C6E95"/>
    <w:rsid w:val="004D3FF6"/>
    <w:rsid w:val="004D454E"/>
    <w:rsid w:val="004D4F66"/>
    <w:rsid w:val="004D5C57"/>
    <w:rsid w:val="004D6AAF"/>
    <w:rsid w:val="004D71A9"/>
    <w:rsid w:val="004D7428"/>
    <w:rsid w:val="004E0B87"/>
    <w:rsid w:val="004E1D73"/>
    <w:rsid w:val="004E1E7F"/>
    <w:rsid w:val="004E71ED"/>
    <w:rsid w:val="004E7654"/>
    <w:rsid w:val="004F13CD"/>
    <w:rsid w:val="004F27BF"/>
    <w:rsid w:val="004F2A31"/>
    <w:rsid w:val="004F4068"/>
    <w:rsid w:val="004F5265"/>
    <w:rsid w:val="00500196"/>
    <w:rsid w:val="0050675D"/>
    <w:rsid w:val="0050694E"/>
    <w:rsid w:val="005073B6"/>
    <w:rsid w:val="00507FD3"/>
    <w:rsid w:val="00510EC1"/>
    <w:rsid w:val="005113D1"/>
    <w:rsid w:val="005121B2"/>
    <w:rsid w:val="0051242C"/>
    <w:rsid w:val="00513E14"/>
    <w:rsid w:val="00514EA8"/>
    <w:rsid w:val="0051705E"/>
    <w:rsid w:val="00520B12"/>
    <w:rsid w:val="00526F46"/>
    <w:rsid w:val="005309D0"/>
    <w:rsid w:val="00531B02"/>
    <w:rsid w:val="0053316B"/>
    <w:rsid w:val="00533579"/>
    <w:rsid w:val="005337D2"/>
    <w:rsid w:val="00534D5A"/>
    <w:rsid w:val="00535A28"/>
    <w:rsid w:val="0053604B"/>
    <w:rsid w:val="0054161E"/>
    <w:rsid w:val="0054314B"/>
    <w:rsid w:val="005454D6"/>
    <w:rsid w:val="005466E8"/>
    <w:rsid w:val="00547605"/>
    <w:rsid w:val="00552A31"/>
    <w:rsid w:val="005567F0"/>
    <w:rsid w:val="00557249"/>
    <w:rsid w:val="00561BC0"/>
    <w:rsid w:val="005627AC"/>
    <w:rsid w:val="00562B9F"/>
    <w:rsid w:val="00567AB3"/>
    <w:rsid w:val="0057001E"/>
    <w:rsid w:val="00571B6E"/>
    <w:rsid w:val="00573D13"/>
    <w:rsid w:val="005770F0"/>
    <w:rsid w:val="005777F9"/>
    <w:rsid w:val="00580A05"/>
    <w:rsid w:val="005821F6"/>
    <w:rsid w:val="00582DDA"/>
    <w:rsid w:val="00582F14"/>
    <w:rsid w:val="005844C1"/>
    <w:rsid w:val="00584C17"/>
    <w:rsid w:val="005877EC"/>
    <w:rsid w:val="00587AFC"/>
    <w:rsid w:val="00592D4D"/>
    <w:rsid w:val="00593EA1"/>
    <w:rsid w:val="005941F6"/>
    <w:rsid w:val="005A4171"/>
    <w:rsid w:val="005A52EA"/>
    <w:rsid w:val="005A54CF"/>
    <w:rsid w:val="005A5FA3"/>
    <w:rsid w:val="005A678C"/>
    <w:rsid w:val="005A76C0"/>
    <w:rsid w:val="005B0DAB"/>
    <w:rsid w:val="005B10F6"/>
    <w:rsid w:val="005B2362"/>
    <w:rsid w:val="005B4109"/>
    <w:rsid w:val="005C0439"/>
    <w:rsid w:val="005C0858"/>
    <w:rsid w:val="005C1D0A"/>
    <w:rsid w:val="005C2CED"/>
    <w:rsid w:val="005D02BC"/>
    <w:rsid w:val="005D1559"/>
    <w:rsid w:val="005D22E6"/>
    <w:rsid w:val="005D2752"/>
    <w:rsid w:val="005D33D6"/>
    <w:rsid w:val="005D492B"/>
    <w:rsid w:val="005D4C6E"/>
    <w:rsid w:val="005D6B96"/>
    <w:rsid w:val="005E11DC"/>
    <w:rsid w:val="005E2742"/>
    <w:rsid w:val="005E2A61"/>
    <w:rsid w:val="005E7073"/>
    <w:rsid w:val="005E766A"/>
    <w:rsid w:val="005F0A78"/>
    <w:rsid w:val="005F35DD"/>
    <w:rsid w:val="005F3E60"/>
    <w:rsid w:val="005F439C"/>
    <w:rsid w:val="005F5FF7"/>
    <w:rsid w:val="006008A8"/>
    <w:rsid w:val="00600EAE"/>
    <w:rsid w:val="00604B05"/>
    <w:rsid w:val="00604BBF"/>
    <w:rsid w:val="00605D45"/>
    <w:rsid w:val="0060728A"/>
    <w:rsid w:val="00611F25"/>
    <w:rsid w:val="00613F07"/>
    <w:rsid w:val="00615858"/>
    <w:rsid w:val="0062020B"/>
    <w:rsid w:val="006238E0"/>
    <w:rsid w:val="00626498"/>
    <w:rsid w:val="006303C3"/>
    <w:rsid w:val="00630CF1"/>
    <w:rsid w:val="0063284B"/>
    <w:rsid w:val="00635168"/>
    <w:rsid w:val="00635A77"/>
    <w:rsid w:val="00635E43"/>
    <w:rsid w:val="00637058"/>
    <w:rsid w:val="00637975"/>
    <w:rsid w:val="00641736"/>
    <w:rsid w:val="00642191"/>
    <w:rsid w:val="00642D16"/>
    <w:rsid w:val="00645CD5"/>
    <w:rsid w:val="0064771F"/>
    <w:rsid w:val="00653B20"/>
    <w:rsid w:val="00654329"/>
    <w:rsid w:val="00655795"/>
    <w:rsid w:val="00656633"/>
    <w:rsid w:val="006616E8"/>
    <w:rsid w:val="00664F8E"/>
    <w:rsid w:val="006653B2"/>
    <w:rsid w:val="006656D5"/>
    <w:rsid w:val="00670C06"/>
    <w:rsid w:val="00674855"/>
    <w:rsid w:val="00674FB4"/>
    <w:rsid w:val="006758B0"/>
    <w:rsid w:val="00680A2F"/>
    <w:rsid w:val="0068117A"/>
    <w:rsid w:val="00683E96"/>
    <w:rsid w:val="00683F86"/>
    <w:rsid w:val="0068518A"/>
    <w:rsid w:val="00685A68"/>
    <w:rsid w:val="00692B7F"/>
    <w:rsid w:val="006930D9"/>
    <w:rsid w:val="0069366F"/>
    <w:rsid w:val="00693FD0"/>
    <w:rsid w:val="00694ABB"/>
    <w:rsid w:val="00695AC5"/>
    <w:rsid w:val="00696AF0"/>
    <w:rsid w:val="006A0250"/>
    <w:rsid w:val="006A1054"/>
    <w:rsid w:val="006A24E8"/>
    <w:rsid w:val="006A2ABA"/>
    <w:rsid w:val="006A2E72"/>
    <w:rsid w:val="006A454F"/>
    <w:rsid w:val="006A4917"/>
    <w:rsid w:val="006A4D76"/>
    <w:rsid w:val="006A4EBC"/>
    <w:rsid w:val="006A5A65"/>
    <w:rsid w:val="006B0214"/>
    <w:rsid w:val="006B0B45"/>
    <w:rsid w:val="006B0F55"/>
    <w:rsid w:val="006B26A6"/>
    <w:rsid w:val="006B36A7"/>
    <w:rsid w:val="006B4D99"/>
    <w:rsid w:val="006B5F07"/>
    <w:rsid w:val="006B63BD"/>
    <w:rsid w:val="006C39A7"/>
    <w:rsid w:val="006D00BD"/>
    <w:rsid w:val="006D1B3E"/>
    <w:rsid w:val="006D50FF"/>
    <w:rsid w:val="006D54C6"/>
    <w:rsid w:val="006E044F"/>
    <w:rsid w:val="006E10E3"/>
    <w:rsid w:val="006E2269"/>
    <w:rsid w:val="006E41EC"/>
    <w:rsid w:val="006E5A4A"/>
    <w:rsid w:val="006E752A"/>
    <w:rsid w:val="006F48D6"/>
    <w:rsid w:val="006F6779"/>
    <w:rsid w:val="006F7A43"/>
    <w:rsid w:val="0070064C"/>
    <w:rsid w:val="00700792"/>
    <w:rsid w:val="00712843"/>
    <w:rsid w:val="00717211"/>
    <w:rsid w:val="00717B77"/>
    <w:rsid w:val="00721796"/>
    <w:rsid w:val="007224E3"/>
    <w:rsid w:val="00724EA3"/>
    <w:rsid w:val="0072660D"/>
    <w:rsid w:val="00727717"/>
    <w:rsid w:val="00732D1A"/>
    <w:rsid w:val="00733ACC"/>
    <w:rsid w:val="00736F0E"/>
    <w:rsid w:val="00737E88"/>
    <w:rsid w:val="00742AEA"/>
    <w:rsid w:val="0074317B"/>
    <w:rsid w:val="00745491"/>
    <w:rsid w:val="007469F9"/>
    <w:rsid w:val="00747266"/>
    <w:rsid w:val="0075195D"/>
    <w:rsid w:val="0075217B"/>
    <w:rsid w:val="00752387"/>
    <w:rsid w:val="007544CB"/>
    <w:rsid w:val="00754707"/>
    <w:rsid w:val="007555A9"/>
    <w:rsid w:val="007607CD"/>
    <w:rsid w:val="00763F5E"/>
    <w:rsid w:val="0076406A"/>
    <w:rsid w:val="00764BED"/>
    <w:rsid w:val="00765D0C"/>
    <w:rsid w:val="00771B7A"/>
    <w:rsid w:val="00773956"/>
    <w:rsid w:val="007740FB"/>
    <w:rsid w:val="00776AC9"/>
    <w:rsid w:val="00776EC9"/>
    <w:rsid w:val="0077755A"/>
    <w:rsid w:val="00777F7E"/>
    <w:rsid w:val="00784179"/>
    <w:rsid w:val="00784BE8"/>
    <w:rsid w:val="007856A8"/>
    <w:rsid w:val="007857CA"/>
    <w:rsid w:val="00787C64"/>
    <w:rsid w:val="00797927"/>
    <w:rsid w:val="00797B03"/>
    <w:rsid w:val="007A1BDF"/>
    <w:rsid w:val="007A2AE4"/>
    <w:rsid w:val="007A2ECB"/>
    <w:rsid w:val="007A33BF"/>
    <w:rsid w:val="007A5235"/>
    <w:rsid w:val="007A6DA3"/>
    <w:rsid w:val="007A7692"/>
    <w:rsid w:val="007B1FCB"/>
    <w:rsid w:val="007B22CB"/>
    <w:rsid w:val="007B3130"/>
    <w:rsid w:val="007B356F"/>
    <w:rsid w:val="007B44F1"/>
    <w:rsid w:val="007B4E96"/>
    <w:rsid w:val="007B7D53"/>
    <w:rsid w:val="007C2271"/>
    <w:rsid w:val="007C3C22"/>
    <w:rsid w:val="007C5E2D"/>
    <w:rsid w:val="007D292C"/>
    <w:rsid w:val="007E3A44"/>
    <w:rsid w:val="007E40C7"/>
    <w:rsid w:val="007E5CF0"/>
    <w:rsid w:val="007E72A6"/>
    <w:rsid w:val="007F1611"/>
    <w:rsid w:val="007F1C4A"/>
    <w:rsid w:val="007F1F7B"/>
    <w:rsid w:val="007F5AA9"/>
    <w:rsid w:val="00802DDB"/>
    <w:rsid w:val="0080468E"/>
    <w:rsid w:val="00805867"/>
    <w:rsid w:val="00806616"/>
    <w:rsid w:val="00812AA8"/>
    <w:rsid w:val="008131AB"/>
    <w:rsid w:val="0081377A"/>
    <w:rsid w:val="008151EB"/>
    <w:rsid w:val="00816A54"/>
    <w:rsid w:val="0082039D"/>
    <w:rsid w:val="00821A62"/>
    <w:rsid w:val="00824414"/>
    <w:rsid w:val="008245E8"/>
    <w:rsid w:val="008249D0"/>
    <w:rsid w:val="0082594B"/>
    <w:rsid w:val="00825BD0"/>
    <w:rsid w:val="008310DE"/>
    <w:rsid w:val="008362EA"/>
    <w:rsid w:val="008379CA"/>
    <w:rsid w:val="00837F31"/>
    <w:rsid w:val="008423B1"/>
    <w:rsid w:val="00842B92"/>
    <w:rsid w:val="008454EE"/>
    <w:rsid w:val="008458F4"/>
    <w:rsid w:val="00853CD2"/>
    <w:rsid w:val="00855F66"/>
    <w:rsid w:val="00856782"/>
    <w:rsid w:val="008577E1"/>
    <w:rsid w:val="00861AF0"/>
    <w:rsid w:val="00862583"/>
    <w:rsid w:val="00862926"/>
    <w:rsid w:val="00875289"/>
    <w:rsid w:val="00876B90"/>
    <w:rsid w:val="00877B14"/>
    <w:rsid w:val="00883057"/>
    <w:rsid w:val="00884140"/>
    <w:rsid w:val="00885970"/>
    <w:rsid w:val="008867AB"/>
    <w:rsid w:val="00887CAE"/>
    <w:rsid w:val="008938C7"/>
    <w:rsid w:val="0089590A"/>
    <w:rsid w:val="00896A7F"/>
    <w:rsid w:val="008A101D"/>
    <w:rsid w:val="008A2AE1"/>
    <w:rsid w:val="008A2FC5"/>
    <w:rsid w:val="008A361D"/>
    <w:rsid w:val="008A3B04"/>
    <w:rsid w:val="008A3B9E"/>
    <w:rsid w:val="008A5E3C"/>
    <w:rsid w:val="008A7747"/>
    <w:rsid w:val="008B2D5D"/>
    <w:rsid w:val="008B55DC"/>
    <w:rsid w:val="008B5ABF"/>
    <w:rsid w:val="008B62F9"/>
    <w:rsid w:val="008C0BA6"/>
    <w:rsid w:val="008C1170"/>
    <w:rsid w:val="008C2E30"/>
    <w:rsid w:val="008C5A36"/>
    <w:rsid w:val="008C5D00"/>
    <w:rsid w:val="008C5D4A"/>
    <w:rsid w:val="008C7F2C"/>
    <w:rsid w:val="008D0173"/>
    <w:rsid w:val="008D089C"/>
    <w:rsid w:val="008D0B95"/>
    <w:rsid w:val="008D3187"/>
    <w:rsid w:val="008D5685"/>
    <w:rsid w:val="008D5E79"/>
    <w:rsid w:val="008D6C67"/>
    <w:rsid w:val="008E24D5"/>
    <w:rsid w:val="008E3A1A"/>
    <w:rsid w:val="008E57E0"/>
    <w:rsid w:val="008E5829"/>
    <w:rsid w:val="008E5AC8"/>
    <w:rsid w:val="008E635A"/>
    <w:rsid w:val="008F1435"/>
    <w:rsid w:val="008F7598"/>
    <w:rsid w:val="009015C5"/>
    <w:rsid w:val="00901E4D"/>
    <w:rsid w:val="0090589D"/>
    <w:rsid w:val="0090623F"/>
    <w:rsid w:val="009129A9"/>
    <w:rsid w:val="009143C9"/>
    <w:rsid w:val="00916C19"/>
    <w:rsid w:val="00917645"/>
    <w:rsid w:val="00917BB4"/>
    <w:rsid w:val="00921053"/>
    <w:rsid w:val="00922599"/>
    <w:rsid w:val="00923B4F"/>
    <w:rsid w:val="009274C7"/>
    <w:rsid w:val="0093020A"/>
    <w:rsid w:val="009314C2"/>
    <w:rsid w:val="009323F2"/>
    <w:rsid w:val="00937FEC"/>
    <w:rsid w:val="009401FD"/>
    <w:rsid w:val="00940287"/>
    <w:rsid w:val="009412AF"/>
    <w:rsid w:val="00942916"/>
    <w:rsid w:val="009434C2"/>
    <w:rsid w:val="0094541C"/>
    <w:rsid w:val="009521F9"/>
    <w:rsid w:val="00952D62"/>
    <w:rsid w:val="00953BC7"/>
    <w:rsid w:val="00955599"/>
    <w:rsid w:val="00960522"/>
    <w:rsid w:val="00972B37"/>
    <w:rsid w:val="00972C0F"/>
    <w:rsid w:val="0097785E"/>
    <w:rsid w:val="009804BA"/>
    <w:rsid w:val="009809F5"/>
    <w:rsid w:val="00984919"/>
    <w:rsid w:val="0098506B"/>
    <w:rsid w:val="0098561C"/>
    <w:rsid w:val="009866F3"/>
    <w:rsid w:val="00990919"/>
    <w:rsid w:val="00990AD8"/>
    <w:rsid w:val="00991170"/>
    <w:rsid w:val="00991573"/>
    <w:rsid w:val="00991805"/>
    <w:rsid w:val="00995940"/>
    <w:rsid w:val="009973D0"/>
    <w:rsid w:val="009A0366"/>
    <w:rsid w:val="009A1427"/>
    <w:rsid w:val="009A2484"/>
    <w:rsid w:val="009A7234"/>
    <w:rsid w:val="009B131B"/>
    <w:rsid w:val="009B2B21"/>
    <w:rsid w:val="009B4EAB"/>
    <w:rsid w:val="009B67FA"/>
    <w:rsid w:val="009B6AC7"/>
    <w:rsid w:val="009B711A"/>
    <w:rsid w:val="009B724C"/>
    <w:rsid w:val="009B744E"/>
    <w:rsid w:val="009C2CB5"/>
    <w:rsid w:val="009C6FE6"/>
    <w:rsid w:val="009C7DC0"/>
    <w:rsid w:val="009D013B"/>
    <w:rsid w:val="009D0839"/>
    <w:rsid w:val="009D3063"/>
    <w:rsid w:val="009D52D2"/>
    <w:rsid w:val="009D5FA1"/>
    <w:rsid w:val="009D78D6"/>
    <w:rsid w:val="009D7DAA"/>
    <w:rsid w:val="009E014F"/>
    <w:rsid w:val="009E0AEA"/>
    <w:rsid w:val="009E134A"/>
    <w:rsid w:val="009F00CD"/>
    <w:rsid w:val="009F00E4"/>
    <w:rsid w:val="009F0916"/>
    <w:rsid w:val="009F26DD"/>
    <w:rsid w:val="009F2B7C"/>
    <w:rsid w:val="009F2C50"/>
    <w:rsid w:val="009F42FC"/>
    <w:rsid w:val="009F5832"/>
    <w:rsid w:val="009F6F41"/>
    <w:rsid w:val="009F7EEA"/>
    <w:rsid w:val="00A01CDD"/>
    <w:rsid w:val="00A052A6"/>
    <w:rsid w:val="00A11E5A"/>
    <w:rsid w:val="00A11E74"/>
    <w:rsid w:val="00A12B8B"/>
    <w:rsid w:val="00A1447A"/>
    <w:rsid w:val="00A14A57"/>
    <w:rsid w:val="00A14D44"/>
    <w:rsid w:val="00A150FB"/>
    <w:rsid w:val="00A26CE5"/>
    <w:rsid w:val="00A31811"/>
    <w:rsid w:val="00A32996"/>
    <w:rsid w:val="00A33460"/>
    <w:rsid w:val="00A34DA9"/>
    <w:rsid w:val="00A35F9F"/>
    <w:rsid w:val="00A377EA"/>
    <w:rsid w:val="00A40F9F"/>
    <w:rsid w:val="00A431D6"/>
    <w:rsid w:val="00A43E8A"/>
    <w:rsid w:val="00A45DAB"/>
    <w:rsid w:val="00A50488"/>
    <w:rsid w:val="00A5170B"/>
    <w:rsid w:val="00A531FE"/>
    <w:rsid w:val="00A551D5"/>
    <w:rsid w:val="00A57E54"/>
    <w:rsid w:val="00A6402A"/>
    <w:rsid w:val="00A70023"/>
    <w:rsid w:val="00A72DAC"/>
    <w:rsid w:val="00A731F4"/>
    <w:rsid w:val="00A73FB8"/>
    <w:rsid w:val="00A745C7"/>
    <w:rsid w:val="00A76D10"/>
    <w:rsid w:val="00A770CB"/>
    <w:rsid w:val="00A77715"/>
    <w:rsid w:val="00A77C36"/>
    <w:rsid w:val="00A8117D"/>
    <w:rsid w:val="00A81652"/>
    <w:rsid w:val="00A8255F"/>
    <w:rsid w:val="00A82F63"/>
    <w:rsid w:val="00A85777"/>
    <w:rsid w:val="00A8621D"/>
    <w:rsid w:val="00A87499"/>
    <w:rsid w:val="00A90648"/>
    <w:rsid w:val="00A96023"/>
    <w:rsid w:val="00AA0201"/>
    <w:rsid w:val="00AA2C34"/>
    <w:rsid w:val="00AA386A"/>
    <w:rsid w:val="00AA6163"/>
    <w:rsid w:val="00AA7E2B"/>
    <w:rsid w:val="00AB048F"/>
    <w:rsid w:val="00AB6ACF"/>
    <w:rsid w:val="00AC116F"/>
    <w:rsid w:val="00AC5EAA"/>
    <w:rsid w:val="00AC76C9"/>
    <w:rsid w:val="00AD0094"/>
    <w:rsid w:val="00AD11C6"/>
    <w:rsid w:val="00AD3045"/>
    <w:rsid w:val="00AD3A35"/>
    <w:rsid w:val="00AD545B"/>
    <w:rsid w:val="00AE1A79"/>
    <w:rsid w:val="00AE1B57"/>
    <w:rsid w:val="00AE43B1"/>
    <w:rsid w:val="00AE4D73"/>
    <w:rsid w:val="00AE6EF1"/>
    <w:rsid w:val="00AE7FAF"/>
    <w:rsid w:val="00AF0CB3"/>
    <w:rsid w:val="00AF3EDC"/>
    <w:rsid w:val="00AF621F"/>
    <w:rsid w:val="00AF6258"/>
    <w:rsid w:val="00B02E13"/>
    <w:rsid w:val="00B04F07"/>
    <w:rsid w:val="00B1004C"/>
    <w:rsid w:val="00B11D04"/>
    <w:rsid w:val="00B125B5"/>
    <w:rsid w:val="00B12DC8"/>
    <w:rsid w:val="00B23C8F"/>
    <w:rsid w:val="00B23E3D"/>
    <w:rsid w:val="00B2726F"/>
    <w:rsid w:val="00B30D13"/>
    <w:rsid w:val="00B337B0"/>
    <w:rsid w:val="00B349CD"/>
    <w:rsid w:val="00B3639D"/>
    <w:rsid w:val="00B363BC"/>
    <w:rsid w:val="00B37C24"/>
    <w:rsid w:val="00B40437"/>
    <w:rsid w:val="00B41A38"/>
    <w:rsid w:val="00B43FDD"/>
    <w:rsid w:val="00B45D5A"/>
    <w:rsid w:val="00B46073"/>
    <w:rsid w:val="00B46FE6"/>
    <w:rsid w:val="00B5068B"/>
    <w:rsid w:val="00B5217D"/>
    <w:rsid w:val="00B52F20"/>
    <w:rsid w:val="00B539C1"/>
    <w:rsid w:val="00B544E7"/>
    <w:rsid w:val="00B5628F"/>
    <w:rsid w:val="00B60BF0"/>
    <w:rsid w:val="00B6138C"/>
    <w:rsid w:val="00B638C6"/>
    <w:rsid w:val="00B66A9D"/>
    <w:rsid w:val="00B6715B"/>
    <w:rsid w:val="00B67675"/>
    <w:rsid w:val="00B67D20"/>
    <w:rsid w:val="00B71D03"/>
    <w:rsid w:val="00B777C2"/>
    <w:rsid w:val="00B813DB"/>
    <w:rsid w:val="00B8177D"/>
    <w:rsid w:val="00B817D5"/>
    <w:rsid w:val="00B84B21"/>
    <w:rsid w:val="00B85126"/>
    <w:rsid w:val="00B87283"/>
    <w:rsid w:val="00B87DBC"/>
    <w:rsid w:val="00B90001"/>
    <w:rsid w:val="00B91946"/>
    <w:rsid w:val="00B91C99"/>
    <w:rsid w:val="00B925D9"/>
    <w:rsid w:val="00B92C9A"/>
    <w:rsid w:val="00B9435B"/>
    <w:rsid w:val="00B95D53"/>
    <w:rsid w:val="00BA2B03"/>
    <w:rsid w:val="00BA47A6"/>
    <w:rsid w:val="00BA492D"/>
    <w:rsid w:val="00BA5681"/>
    <w:rsid w:val="00BA6749"/>
    <w:rsid w:val="00BB5D23"/>
    <w:rsid w:val="00BC1241"/>
    <w:rsid w:val="00BC16E1"/>
    <w:rsid w:val="00BC38EC"/>
    <w:rsid w:val="00BC3EA9"/>
    <w:rsid w:val="00BC6BA7"/>
    <w:rsid w:val="00BC6EC7"/>
    <w:rsid w:val="00BD013F"/>
    <w:rsid w:val="00BD11F9"/>
    <w:rsid w:val="00BD2A7F"/>
    <w:rsid w:val="00BD679B"/>
    <w:rsid w:val="00BD7BB2"/>
    <w:rsid w:val="00BE0E51"/>
    <w:rsid w:val="00BE1A05"/>
    <w:rsid w:val="00BE1EBC"/>
    <w:rsid w:val="00BE7957"/>
    <w:rsid w:val="00BF3D7F"/>
    <w:rsid w:val="00BF4406"/>
    <w:rsid w:val="00BF483D"/>
    <w:rsid w:val="00BF5C30"/>
    <w:rsid w:val="00C01AF3"/>
    <w:rsid w:val="00C033EE"/>
    <w:rsid w:val="00C04979"/>
    <w:rsid w:val="00C04A1E"/>
    <w:rsid w:val="00C04A8A"/>
    <w:rsid w:val="00C04C8D"/>
    <w:rsid w:val="00C05072"/>
    <w:rsid w:val="00C0727F"/>
    <w:rsid w:val="00C10766"/>
    <w:rsid w:val="00C15DE8"/>
    <w:rsid w:val="00C20940"/>
    <w:rsid w:val="00C2099D"/>
    <w:rsid w:val="00C219B9"/>
    <w:rsid w:val="00C278BC"/>
    <w:rsid w:val="00C34ECE"/>
    <w:rsid w:val="00C42536"/>
    <w:rsid w:val="00C42B04"/>
    <w:rsid w:val="00C441BC"/>
    <w:rsid w:val="00C46F15"/>
    <w:rsid w:val="00C47355"/>
    <w:rsid w:val="00C4769F"/>
    <w:rsid w:val="00C51EED"/>
    <w:rsid w:val="00C52B14"/>
    <w:rsid w:val="00C54BB2"/>
    <w:rsid w:val="00C556A3"/>
    <w:rsid w:val="00C60B78"/>
    <w:rsid w:val="00C64126"/>
    <w:rsid w:val="00C65DD6"/>
    <w:rsid w:val="00C738E8"/>
    <w:rsid w:val="00C744D0"/>
    <w:rsid w:val="00C74AE0"/>
    <w:rsid w:val="00C82525"/>
    <w:rsid w:val="00C83572"/>
    <w:rsid w:val="00C84845"/>
    <w:rsid w:val="00C84913"/>
    <w:rsid w:val="00C90DD8"/>
    <w:rsid w:val="00C916BA"/>
    <w:rsid w:val="00C921A7"/>
    <w:rsid w:val="00C94828"/>
    <w:rsid w:val="00CA001F"/>
    <w:rsid w:val="00CA12ED"/>
    <w:rsid w:val="00CA14A7"/>
    <w:rsid w:val="00CA2AA3"/>
    <w:rsid w:val="00CA2CA6"/>
    <w:rsid w:val="00CA338A"/>
    <w:rsid w:val="00CA3FB1"/>
    <w:rsid w:val="00CA45EF"/>
    <w:rsid w:val="00CA6960"/>
    <w:rsid w:val="00CA6C4D"/>
    <w:rsid w:val="00CA7139"/>
    <w:rsid w:val="00CB01C8"/>
    <w:rsid w:val="00CB0F00"/>
    <w:rsid w:val="00CB1C84"/>
    <w:rsid w:val="00CB2940"/>
    <w:rsid w:val="00CB3BFD"/>
    <w:rsid w:val="00CB4417"/>
    <w:rsid w:val="00CC0354"/>
    <w:rsid w:val="00CC1BD3"/>
    <w:rsid w:val="00CC3AA2"/>
    <w:rsid w:val="00CC5E07"/>
    <w:rsid w:val="00CC6EEE"/>
    <w:rsid w:val="00CD060C"/>
    <w:rsid w:val="00CD1C47"/>
    <w:rsid w:val="00CD26CA"/>
    <w:rsid w:val="00CD4376"/>
    <w:rsid w:val="00CD5998"/>
    <w:rsid w:val="00CD6DC2"/>
    <w:rsid w:val="00CE062B"/>
    <w:rsid w:val="00CE25E8"/>
    <w:rsid w:val="00CE2951"/>
    <w:rsid w:val="00CF6F24"/>
    <w:rsid w:val="00D0196E"/>
    <w:rsid w:val="00D0376D"/>
    <w:rsid w:val="00D0470F"/>
    <w:rsid w:val="00D0594F"/>
    <w:rsid w:val="00D073DC"/>
    <w:rsid w:val="00D07736"/>
    <w:rsid w:val="00D12228"/>
    <w:rsid w:val="00D12DBF"/>
    <w:rsid w:val="00D1516E"/>
    <w:rsid w:val="00D15DD2"/>
    <w:rsid w:val="00D17351"/>
    <w:rsid w:val="00D2153B"/>
    <w:rsid w:val="00D22F76"/>
    <w:rsid w:val="00D2349F"/>
    <w:rsid w:val="00D24C1F"/>
    <w:rsid w:val="00D24DAC"/>
    <w:rsid w:val="00D272C9"/>
    <w:rsid w:val="00D306A8"/>
    <w:rsid w:val="00D30AF4"/>
    <w:rsid w:val="00D32F3B"/>
    <w:rsid w:val="00D33264"/>
    <w:rsid w:val="00D33FAA"/>
    <w:rsid w:val="00D34180"/>
    <w:rsid w:val="00D34D0C"/>
    <w:rsid w:val="00D35AFC"/>
    <w:rsid w:val="00D42DBC"/>
    <w:rsid w:val="00D4347E"/>
    <w:rsid w:val="00D438DC"/>
    <w:rsid w:val="00D439D8"/>
    <w:rsid w:val="00D443AF"/>
    <w:rsid w:val="00D44A54"/>
    <w:rsid w:val="00D45989"/>
    <w:rsid w:val="00D460CE"/>
    <w:rsid w:val="00D51D0C"/>
    <w:rsid w:val="00D60971"/>
    <w:rsid w:val="00D6100D"/>
    <w:rsid w:val="00D6137C"/>
    <w:rsid w:val="00D64749"/>
    <w:rsid w:val="00D6481E"/>
    <w:rsid w:val="00D65C7D"/>
    <w:rsid w:val="00D6725E"/>
    <w:rsid w:val="00D67EB2"/>
    <w:rsid w:val="00D720F8"/>
    <w:rsid w:val="00D74E49"/>
    <w:rsid w:val="00D75B71"/>
    <w:rsid w:val="00D8026C"/>
    <w:rsid w:val="00D87D23"/>
    <w:rsid w:val="00D90B7D"/>
    <w:rsid w:val="00D90F23"/>
    <w:rsid w:val="00D93016"/>
    <w:rsid w:val="00D93CD3"/>
    <w:rsid w:val="00D94621"/>
    <w:rsid w:val="00D95ADA"/>
    <w:rsid w:val="00D95AF3"/>
    <w:rsid w:val="00D95EFE"/>
    <w:rsid w:val="00D972EE"/>
    <w:rsid w:val="00D97729"/>
    <w:rsid w:val="00DA6121"/>
    <w:rsid w:val="00DA6FAC"/>
    <w:rsid w:val="00DA727A"/>
    <w:rsid w:val="00DB0F64"/>
    <w:rsid w:val="00DB19F3"/>
    <w:rsid w:val="00DB2B61"/>
    <w:rsid w:val="00DB536B"/>
    <w:rsid w:val="00DC642B"/>
    <w:rsid w:val="00DD14D8"/>
    <w:rsid w:val="00DD2846"/>
    <w:rsid w:val="00DD3197"/>
    <w:rsid w:val="00DD514E"/>
    <w:rsid w:val="00DD61F6"/>
    <w:rsid w:val="00DD6465"/>
    <w:rsid w:val="00DD6B05"/>
    <w:rsid w:val="00DD6B5D"/>
    <w:rsid w:val="00DD6BA3"/>
    <w:rsid w:val="00DD6CC1"/>
    <w:rsid w:val="00DE0085"/>
    <w:rsid w:val="00DE355D"/>
    <w:rsid w:val="00DE49EE"/>
    <w:rsid w:val="00DE603C"/>
    <w:rsid w:val="00DE62FF"/>
    <w:rsid w:val="00DE7038"/>
    <w:rsid w:val="00DE7B1E"/>
    <w:rsid w:val="00DE7DF4"/>
    <w:rsid w:val="00DF40DC"/>
    <w:rsid w:val="00DF41B8"/>
    <w:rsid w:val="00DF5A23"/>
    <w:rsid w:val="00E0055B"/>
    <w:rsid w:val="00E06769"/>
    <w:rsid w:val="00E07321"/>
    <w:rsid w:val="00E07DED"/>
    <w:rsid w:val="00E10C76"/>
    <w:rsid w:val="00E10E5A"/>
    <w:rsid w:val="00E1201E"/>
    <w:rsid w:val="00E13888"/>
    <w:rsid w:val="00E13B78"/>
    <w:rsid w:val="00E13D57"/>
    <w:rsid w:val="00E157EB"/>
    <w:rsid w:val="00E2034B"/>
    <w:rsid w:val="00E22525"/>
    <w:rsid w:val="00E253C6"/>
    <w:rsid w:val="00E25BA8"/>
    <w:rsid w:val="00E2685E"/>
    <w:rsid w:val="00E26F5A"/>
    <w:rsid w:val="00E3053C"/>
    <w:rsid w:val="00E32A1A"/>
    <w:rsid w:val="00E35386"/>
    <w:rsid w:val="00E36919"/>
    <w:rsid w:val="00E36F55"/>
    <w:rsid w:val="00E401AC"/>
    <w:rsid w:val="00E4452B"/>
    <w:rsid w:val="00E461C6"/>
    <w:rsid w:val="00E50DD2"/>
    <w:rsid w:val="00E526D7"/>
    <w:rsid w:val="00E54A21"/>
    <w:rsid w:val="00E61396"/>
    <w:rsid w:val="00E6294C"/>
    <w:rsid w:val="00E6518C"/>
    <w:rsid w:val="00E73046"/>
    <w:rsid w:val="00E74126"/>
    <w:rsid w:val="00E743FB"/>
    <w:rsid w:val="00E75C08"/>
    <w:rsid w:val="00E819E6"/>
    <w:rsid w:val="00E82362"/>
    <w:rsid w:val="00E828E1"/>
    <w:rsid w:val="00E84C20"/>
    <w:rsid w:val="00E84D36"/>
    <w:rsid w:val="00E87F7D"/>
    <w:rsid w:val="00E910B9"/>
    <w:rsid w:val="00E92233"/>
    <w:rsid w:val="00E923A9"/>
    <w:rsid w:val="00E936FA"/>
    <w:rsid w:val="00E93E20"/>
    <w:rsid w:val="00E95E5F"/>
    <w:rsid w:val="00EA0C16"/>
    <w:rsid w:val="00EA1300"/>
    <w:rsid w:val="00EA13C2"/>
    <w:rsid w:val="00EA2B78"/>
    <w:rsid w:val="00EA3FCA"/>
    <w:rsid w:val="00EA5DB3"/>
    <w:rsid w:val="00EA6EB1"/>
    <w:rsid w:val="00EA79A4"/>
    <w:rsid w:val="00EB06EC"/>
    <w:rsid w:val="00EB0797"/>
    <w:rsid w:val="00EB2B86"/>
    <w:rsid w:val="00EB347E"/>
    <w:rsid w:val="00EB7D49"/>
    <w:rsid w:val="00EC5680"/>
    <w:rsid w:val="00EC5FA6"/>
    <w:rsid w:val="00EC69E5"/>
    <w:rsid w:val="00ED0EB0"/>
    <w:rsid w:val="00ED0F86"/>
    <w:rsid w:val="00ED1BD8"/>
    <w:rsid w:val="00ED2228"/>
    <w:rsid w:val="00ED4BC8"/>
    <w:rsid w:val="00ED7F50"/>
    <w:rsid w:val="00EE0447"/>
    <w:rsid w:val="00EE1E3C"/>
    <w:rsid w:val="00EE23EB"/>
    <w:rsid w:val="00EE4C2E"/>
    <w:rsid w:val="00EE53E8"/>
    <w:rsid w:val="00EF124C"/>
    <w:rsid w:val="00EF1F4A"/>
    <w:rsid w:val="00EF5351"/>
    <w:rsid w:val="00EF5B1F"/>
    <w:rsid w:val="00EF727B"/>
    <w:rsid w:val="00EF750D"/>
    <w:rsid w:val="00EF76D3"/>
    <w:rsid w:val="00F003FE"/>
    <w:rsid w:val="00F00F72"/>
    <w:rsid w:val="00F0553B"/>
    <w:rsid w:val="00F079FC"/>
    <w:rsid w:val="00F07D61"/>
    <w:rsid w:val="00F105E8"/>
    <w:rsid w:val="00F11512"/>
    <w:rsid w:val="00F118DA"/>
    <w:rsid w:val="00F11BB2"/>
    <w:rsid w:val="00F13A38"/>
    <w:rsid w:val="00F15750"/>
    <w:rsid w:val="00F15AF3"/>
    <w:rsid w:val="00F2227B"/>
    <w:rsid w:val="00F22A6E"/>
    <w:rsid w:val="00F231F7"/>
    <w:rsid w:val="00F247EB"/>
    <w:rsid w:val="00F2671D"/>
    <w:rsid w:val="00F26D76"/>
    <w:rsid w:val="00F27440"/>
    <w:rsid w:val="00F31DDB"/>
    <w:rsid w:val="00F32233"/>
    <w:rsid w:val="00F336F1"/>
    <w:rsid w:val="00F35A3A"/>
    <w:rsid w:val="00F35E3A"/>
    <w:rsid w:val="00F3681B"/>
    <w:rsid w:val="00F37B6C"/>
    <w:rsid w:val="00F40274"/>
    <w:rsid w:val="00F42744"/>
    <w:rsid w:val="00F43225"/>
    <w:rsid w:val="00F4791B"/>
    <w:rsid w:val="00F51D51"/>
    <w:rsid w:val="00F52293"/>
    <w:rsid w:val="00F52CAD"/>
    <w:rsid w:val="00F55683"/>
    <w:rsid w:val="00F56193"/>
    <w:rsid w:val="00F60150"/>
    <w:rsid w:val="00F60544"/>
    <w:rsid w:val="00F60893"/>
    <w:rsid w:val="00F6190E"/>
    <w:rsid w:val="00F63602"/>
    <w:rsid w:val="00F63EB6"/>
    <w:rsid w:val="00F642B6"/>
    <w:rsid w:val="00F64757"/>
    <w:rsid w:val="00F647A2"/>
    <w:rsid w:val="00F66690"/>
    <w:rsid w:val="00F67585"/>
    <w:rsid w:val="00F676F9"/>
    <w:rsid w:val="00F719D2"/>
    <w:rsid w:val="00F726DF"/>
    <w:rsid w:val="00F72F60"/>
    <w:rsid w:val="00F7319D"/>
    <w:rsid w:val="00F74744"/>
    <w:rsid w:val="00F75B53"/>
    <w:rsid w:val="00F75C10"/>
    <w:rsid w:val="00F7650D"/>
    <w:rsid w:val="00F765A6"/>
    <w:rsid w:val="00F7733B"/>
    <w:rsid w:val="00F84A9A"/>
    <w:rsid w:val="00F85E3F"/>
    <w:rsid w:val="00F96F91"/>
    <w:rsid w:val="00FA0511"/>
    <w:rsid w:val="00FA0A5A"/>
    <w:rsid w:val="00FA0E65"/>
    <w:rsid w:val="00FA10A6"/>
    <w:rsid w:val="00FA3D4E"/>
    <w:rsid w:val="00FA4138"/>
    <w:rsid w:val="00FA72FC"/>
    <w:rsid w:val="00FB103A"/>
    <w:rsid w:val="00FB1D5D"/>
    <w:rsid w:val="00FB45B3"/>
    <w:rsid w:val="00FB4BFC"/>
    <w:rsid w:val="00FB534D"/>
    <w:rsid w:val="00FB5C58"/>
    <w:rsid w:val="00FB6F39"/>
    <w:rsid w:val="00FB73A8"/>
    <w:rsid w:val="00FB75C0"/>
    <w:rsid w:val="00FC34F3"/>
    <w:rsid w:val="00FC5C16"/>
    <w:rsid w:val="00FC72AB"/>
    <w:rsid w:val="00FC76C6"/>
    <w:rsid w:val="00FC78BC"/>
    <w:rsid w:val="00FD1B82"/>
    <w:rsid w:val="00FD78D7"/>
    <w:rsid w:val="00FD7B17"/>
    <w:rsid w:val="00FE23A4"/>
    <w:rsid w:val="00FE30BC"/>
    <w:rsid w:val="00FE6519"/>
    <w:rsid w:val="00FF0E15"/>
    <w:rsid w:val="00FF2270"/>
    <w:rsid w:val="00FF228A"/>
    <w:rsid w:val="00FF560B"/>
    <w:rsid w:val="00FF5B9F"/>
    <w:rsid w:val="00FF6537"/>
    <w:rsid w:val="00FF663A"/>
    <w:rsid w:val="00FF6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ACC"/>
    <w:rPr>
      <w:sz w:val="24"/>
      <w:szCs w:val="24"/>
    </w:rPr>
  </w:style>
  <w:style w:type="paragraph" w:styleId="Heading1">
    <w:name w:val="heading 1"/>
    <w:basedOn w:val="Normal"/>
    <w:next w:val="Normal"/>
    <w:link w:val="Heading1Char"/>
    <w:uiPriority w:val="9"/>
    <w:qFormat/>
    <w:rsid w:val="003C5ACC"/>
    <w:pPr>
      <w:keepNext/>
      <w:keepLines/>
      <w:pageBreakBefore/>
      <w:numPr>
        <w:numId w:val="3"/>
      </w:numPr>
      <w:spacing w:after="284" w:line="180" w:lineRule="auto"/>
      <w:outlineLvl w:val="0"/>
    </w:pPr>
    <w:rPr>
      <w:rFonts w:ascii="Calibri" w:hAnsi="Calibri"/>
      <w:bCs/>
      <w:color w:val="000000"/>
      <w:sz w:val="56"/>
      <w:szCs w:val="28"/>
      <w:lang w:eastAsia="en-US"/>
    </w:rPr>
  </w:style>
  <w:style w:type="paragraph" w:styleId="Heading2">
    <w:name w:val="heading 2"/>
    <w:basedOn w:val="Normal"/>
    <w:next w:val="Normal"/>
    <w:link w:val="Heading2Char"/>
    <w:uiPriority w:val="11"/>
    <w:qFormat/>
    <w:rsid w:val="003C5ACC"/>
    <w:pPr>
      <w:keepNext/>
      <w:keepLines/>
      <w:spacing w:before="170" w:after="170" w:line="280" w:lineRule="atLeast"/>
      <w:outlineLvl w:val="1"/>
    </w:pPr>
    <w:rPr>
      <w:rFonts w:ascii="Cambria" w:hAnsi="Cambria"/>
      <w:bCs/>
      <w:color w:val="FF7900"/>
      <w:sz w:val="34"/>
      <w:szCs w:val="26"/>
      <w:lang w:eastAsia="en-US"/>
    </w:rPr>
  </w:style>
  <w:style w:type="paragraph" w:styleId="Heading3">
    <w:name w:val="heading 3"/>
    <w:basedOn w:val="Normal"/>
    <w:next w:val="Normal"/>
    <w:link w:val="Heading3Char"/>
    <w:unhideWhenUsed/>
    <w:qFormat/>
    <w:rsid w:val="003C5AC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3C5AC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1"/>
    <w:rsid w:val="003C5ACC"/>
    <w:rPr>
      <w:rFonts w:ascii="Cambria" w:eastAsia="Times New Roman" w:hAnsi="Cambria" w:cs="Times New Roman"/>
      <w:bCs/>
      <w:color w:val="FF7900"/>
      <w:sz w:val="34"/>
      <w:szCs w:val="26"/>
      <w:lang w:eastAsia="en-US"/>
    </w:rPr>
  </w:style>
  <w:style w:type="character" w:styleId="Hyperlink">
    <w:name w:val="Hyperlink"/>
    <w:basedOn w:val="DefaultParagraphFont"/>
    <w:uiPriority w:val="99"/>
    <w:unhideWhenUsed/>
    <w:rsid w:val="003C5ACC"/>
    <w:rPr>
      <w:color w:val="0000FF"/>
      <w:u w:val="single"/>
    </w:rPr>
  </w:style>
  <w:style w:type="paragraph" w:styleId="ListBullet">
    <w:name w:val="List Bullet"/>
    <w:basedOn w:val="Normal"/>
    <w:rsid w:val="003C5ACC"/>
    <w:pPr>
      <w:numPr>
        <w:numId w:val="1"/>
      </w:numPr>
      <w:spacing w:before="120"/>
    </w:pPr>
    <w:rPr>
      <w:rFonts w:ascii="Arial" w:hAnsi="Arial"/>
      <w:sz w:val="20"/>
    </w:rPr>
  </w:style>
  <w:style w:type="character" w:customStyle="1" w:styleId="Heading1Char">
    <w:name w:val="Heading 1 Char"/>
    <w:basedOn w:val="DefaultParagraphFont"/>
    <w:link w:val="Heading1"/>
    <w:uiPriority w:val="9"/>
    <w:rsid w:val="003C5ACC"/>
    <w:rPr>
      <w:rFonts w:ascii="Calibri" w:hAnsi="Calibri"/>
      <w:bCs/>
      <w:color w:val="000000"/>
      <w:sz w:val="56"/>
      <w:szCs w:val="28"/>
      <w:lang w:eastAsia="en-US"/>
    </w:rPr>
  </w:style>
  <w:style w:type="paragraph" w:styleId="Header">
    <w:name w:val="header"/>
    <w:basedOn w:val="Normal"/>
    <w:link w:val="HeaderChar"/>
    <w:uiPriority w:val="99"/>
    <w:rsid w:val="003C5ACC"/>
    <w:pPr>
      <w:tabs>
        <w:tab w:val="center" w:pos="4513"/>
        <w:tab w:val="right" w:pos="9026"/>
      </w:tabs>
    </w:pPr>
  </w:style>
  <w:style w:type="character" w:customStyle="1" w:styleId="HeaderChar">
    <w:name w:val="Header Char"/>
    <w:basedOn w:val="DefaultParagraphFont"/>
    <w:link w:val="Header"/>
    <w:uiPriority w:val="99"/>
    <w:rsid w:val="003C5ACC"/>
    <w:rPr>
      <w:sz w:val="24"/>
      <w:szCs w:val="24"/>
    </w:rPr>
  </w:style>
  <w:style w:type="paragraph" w:styleId="Footer">
    <w:name w:val="footer"/>
    <w:basedOn w:val="Normal"/>
    <w:link w:val="FooterChar"/>
    <w:uiPriority w:val="99"/>
    <w:rsid w:val="003C5ACC"/>
    <w:pPr>
      <w:tabs>
        <w:tab w:val="center" w:pos="4513"/>
        <w:tab w:val="right" w:pos="9026"/>
      </w:tabs>
    </w:pPr>
  </w:style>
  <w:style w:type="character" w:customStyle="1" w:styleId="FooterChar">
    <w:name w:val="Footer Char"/>
    <w:basedOn w:val="DefaultParagraphFont"/>
    <w:link w:val="Footer"/>
    <w:uiPriority w:val="99"/>
    <w:rsid w:val="003C5ACC"/>
    <w:rPr>
      <w:sz w:val="24"/>
      <w:szCs w:val="24"/>
    </w:rPr>
  </w:style>
  <w:style w:type="paragraph" w:styleId="BodyText">
    <w:name w:val="Body Text"/>
    <w:basedOn w:val="Normal"/>
    <w:link w:val="BodyTextChar"/>
    <w:rsid w:val="003C5ACC"/>
    <w:pPr>
      <w:spacing w:after="120"/>
    </w:pPr>
    <w:rPr>
      <w:lang w:eastAsia="en-US"/>
    </w:rPr>
  </w:style>
  <w:style w:type="character" w:customStyle="1" w:styleId="BodyTextChar">
    <w:name w:val="Body Text Char"/>
    <w:basedOn w:val="DefaultParagraphFont"/>
    <w:link w:val="BodyText"/>
    <w:rsid w:val="003C5ACC"/>
    <w:rPr>
      <w:sz w:val="24"/>
      <w:szCs w:val="24"/>
      <w:lang w:eastAsia="en-US"/>
    </w:rPr>
  </w:style>
  <w:style w:type="character" w:customStyle="1" w:styleId="Heading3Char">
    <w:name w:val="Heading 3 Char"/>
    <w:basedOn w:val="DefaultParagraphFont"/>
    <w:link w:val="Heading3"/>
    <w:rsid w:val="003C5AC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3C5ACC"/>
    <w:rPr>
      <w:rFonts w:ascii="Cambria" w:eastAsia="Times New Roman" w:hAnsi="Cambria" w:cs="Times New Roman"/>
      <w:b/>
      <w:bCs/>
      <w:i/>
      <w:iCs/>
      <w:color w:val="4F81BD"/>
      <w:sz w:val="24"/>
      <w:szCs w:val="24"/>
    </w:rPr>
  </w:style>
  <w:style w:type="paragraph" w:styleId="ListParagraph">
    <w:name w:val="List Paragraph"/>
    <w:basedOn w:val="Normal"/>
    <w:uiPriority w:val="34"/>
    <w:qFormat/>
    <w:rsid w:val="003C5ACC"/>
    <w:pPr>
      <w:spacing w:after="200" w:line="276" w:lineRule="auto"/>
      <w:ind w:left="720"/>
      <w:contextualSpacing/>
    </w:pPr>
    <w:rPr>
      <w:rFonts w:ascii="Calibri" w:eastAsia="Calibri" w:hAnsi="Calibri"/>
      <w:sz w:val="22"/>
      <w:szCs w:val="22"/>
      <w:lang w:eastAsia="en-US"/>
    </w:rPr>
  </w:style>
  <w:style w:type="character" w:styleId="HTMLCite">
    <w:name w:val="HTML Cite"/>
    <w:basedOn w:val="DefaultParagraphFont"/>
    <w:uiPriority w:val="99"/>
    <w:unhideWhenUsed/>
    <w:rsid w:val="003C5ACC"/>
    <w:rPr>
      <w:i/>
      <w:iCs/>
    </w:rPr>
  </w:style>
  <w:style w:type="paragraph" w:styleId="BalloonText">
    <w:name w:val="Balloon Text"/>
    <w:basedOn w:val="Normal"/>
    <w:link w:val="BalloonTextChar"/>
    <w:rsid w:val="003C5ACC"/>
    <w:rPr>
      <w:rFonts w:ascii="Tahoma" w:hAnsi="Tahoma" w:cs="Tahoma"/>
      <w:sz w:val="16"/>
      <w:szCs w:val="16"/>
    </w:rPr>
  </w:style>
  <w:style w:type="character" w:customStyle="1" w:styleId="BalloonTextChar">
    <w:name w:val="Balloon Text Char"/>
    <w:basedOn w:val="DefaultParagraphFont"/>
    <w:link w:val="BalloonText"/>
    <w:rsid w:val="003C5ACC"/>
    <w:rPr>
      <w:rFonts w:ascii="Tahoma" w:hAnsi="Tahoma" w:cs="Tahoma"/>
      <w:sz w:val="16"/>
      <w:szCs w:val="16"/>
    </w:rPr>
  </w:style>
  <w:style w:type="paragraph" w:styleId="Caption">
    <w:name w:val="caption"/>
    <w:basedOn w:val="Normal"/>
    <w:uiPriority w:val="35"/>
    <w:unhideWhenUsed/>
    <w:qFormat/>
    <w:rsid w:val="003C5ACC"/>
    <w:pPr>
      <w:spacing w:after="200"/>
    </w:pPr>
    <w:rPr>
      <w:rFonts w:ascii="Calibri" w:eastAsia="Calibri" w:hAnsi="Calibri"/>
      <w:b/>
      <w:bCs/>
      <w:color w:val="4F81BD"/>
      <w:sz w:val="18"/>
      <w:szCs w:val="18"/>
    </w:rPr>
  </w:style>
  <w:style w:type="character" w:styleId="FollowedHyperlink">
    <w:name w:val="FollowedHyperlink"/>
    <w:basedOn w:val="DefaultParagraphFont"/>
    <w:rsid w:val="003C5ACC"/>
    <w:rPr>
      <w:color w:val="800080"/>
      <w:u w:val="single"/>
    </w:rPr>
  </w:style>
  <w:style w:type="character" w:styleId="CommentReference">
    <w:name w:val="annotation reference"/>
    <w:basedOn w:val="DefaultParagraphFont"/>
    <w:rsid w:val="003C5ACC"/>
    <w:rPr>
      <w:sz w:val="16"/>
      <w:szCs w:val="16"/>
    </w:rPr>
  </w:style>
  <w:style w:type="paragraph" w:styleId="CommentText">
    <w:name w:val="annotation text"/>
    <w:basedOn w:val="Normal"/>
    <w:link w:val="CommentTextChar"/>
    <w:rsid w:val="003C5ACC"/>
    <w:rPr>
      <w:sz w:val="20"/>
      <w:szCs w:val="20"/>
    </w:rPr>
  </w:style>
  <w:style w:type="character" w:customStyle="1" w:styleId="CommentTextChar">
    <w:name w:val="Comment Text Char"/>
    <w:basedOn w:val="DefaultParagraphFont"/>
    <w:link w:val="CommentText"/>
    <w:rsid w:val="003C5ACC"/>
  </w:style>
  <w:style w:type="paragraph" w:styleId="CommentSubject">
    <w:name w:val="annotation subject"/>
    <w:basedOn w:val="CommentText"/>
    <w:next w:val="CommentText"/>
    <w:link w:val="CommentSubjectChar"/>
    <w:rsid w:val="003C5ACC"/>
    <w:rPr>
      <w:b/>
      <w:bCs/>
    </w:rPr>
  </w:style>
  <w:style w:type="character" w:customStyle="1" w:styleId="CommentSubjectChar">
    <w:name w:val="Comment Subject Char"/>
    <w:basedOn w:val="CommentTextChar"/>
    <w:link w:val="CommentSubject"/>
    <w:rsid w:val="003C5ACC"/>
    <w:rPr>
      <w:b/>
      <w:bCs/>
    </w:rPr>
  </w:style>
  <w:style w:type="paragraph" w:styleId="NoSpacing">
    <w:name w:val="No Spacing"/>
    <w:uiPriority w:val="1"/>
    <w:qFormat/>
    <w:rsid w:val="00251F96"/>
    <w:rPr>
      <w:rFonts w:ascii="Calibri" w:eastAsia="Calibri" w:hAnsi="Calibri"/>
      <w:sz w:val="22"/>
      <w:szCs w:val="22"/>
      <w:lang w:eastAsia="en-US"/>
    </w:rPr>
  </w:style>
  <w:style w:type="paragraph" w:styleId="NormalWeb">
    <w:name w:val="Normal (Web)"/>
    <w:basedOn w:val="Normal"/>
    <w:uiPriority w:val="99"/>
    <w:unhideWhenUsed/>
    <w:rsid w:val="00BD2A7F"/>
    <w:rPr>
      <w:rFonts w:ascii="Arial" w:hAnsi="Arial" w:cs="Arial"/>
    </w:rPr>
  </w:style>
  <w:style w:type="table" w:styleId="TableGrid">
    <w:name w:val="Table Grid"/>
    <w:basedOn w:val="TableNormal"/>
    <w:rsid w:val="009F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49CD"/>
    <w:rPr>
      <w:sz w:val="24"/>
      <w:szCs w:val="24"/>
    </w:rPr>
  </w:style>
  <w:style w:type="paragraph" w:customStyle="1" w:styleId="Default">
    <w:name w:val="Default"/>
    <w:rsid w:val="00373CFD"/>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FB7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PreformattedChar">
    <w:name w:val="HTML Preformatted Char"/>
    <w:basedOn w:val="DefaultParagraphFont"/>
    <w:link w:val="HTMLPreformatted"/>
    <w:uiPriority w:val="99"/>
    <w:rsid w:val="00FB73A8"/>
    <w:rPr>
      <w:rFonts w:ascii="Courier New"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3174088">
      <w:bodyDiv w:val="1"/>
      <w:marLeft w:val="0"/>
      <w:marRight w:val="0"/>
      <w:marTop w:val="0"/>
      <w:marBottom w:val="0"/>
      <w:divBdr>
        <w:top w:val="none" w:sz="0" w:space="0" w:color="auto"/>
        <w:left w:val="none" w:sz="0" w:space="0" w:color="auto"/>
        <w:bottom w:val="none" w:sz="0" w:space="0" w:color="auto"/>
        <w:right w:val="none" w:sz="0" w:space="0" w:color="auto"/>
      </w:divBdr>
    </w:div>
    <w:div w:id="30694327">
      <w:bodyDiv w:val="1"/>
      <w:marLeft w:val="0"/>
      <w:marRight w:val="0"/>
      <w:marTop w:val="0"/>
      <w:marBottom w:val="0"/>
      <w:divBdr>
        <w:top w:val="none" w:sz="0" w:space="0" w:color="auto"/>
        <w:left w:val="none" w:sz="0" w:space="0" w:color="auto"/>
        <w:bottom w:val="none" w:sz="0" w:space="0" w:color="auto"/>
        <w:right w:val="none" w:sz="0" w:space="0" w:color="auto"/>
      </w:divBdr>
    </w:div>
    <w:div w:id="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538664060">
          <w:marLeft w:val="0"/>
          <w:marRight w:val="0"/>
          <w:marTop w:val="0"/>
          <w:marBottom w:val="0"/>
          <w:divBdr>
            <w:top w:val="none" w:sz="0" w:space="0" w:color="auto"/>
            <w:left w:val="none" w:sz="0" w:space="0" w:color="auto"/>
            <w:bottom w:val="none" w:sz="0" w:space="0" w:color="auto"/>
            <w:right w:val="none" w:sz="0" w:space="0" w:color="auto"/>
          </w:divBdr>
          <w:divsChild>
            <w:div w:id="1460608278">
              <w:marLeft w:val="0"/>
              <w:marRight w:val="0"/>
              <w:marTop w:val="0"/>
              <w:marBottom w:val="0"/>
              <w:divBdr>
                <w:top w:val="none" w:sz="0" w:space="0" w:color="auto"/>
                <w:left w:val="none" w:sz="0" w:space="0" w:color="auto"/>
                <w:bottom w:val="none" w:sz="0" w:space="0" w:color="auto"/>
                <w:right w:val="none" w:sz="0" w:space="0" w:color="auto"/>
              </w:divBdr>
              <w:divsChild>
                <w:div w:id="2071535267">
                  <w:marLeft w:val="0"/>
                  <w:marRight w:val="0"/>
                  <w:marTop w:val="0"/>
                  <w:marBottom w:val="0"/>
                  <w:divBdr>
                    <w:top w:val="none" w:sz="0" w:space="0" w:color="auto"/>
                    <w:left w:val="none" w:sz="0" w:space="0" w:color="auto"/>
                    <w:bottom w:val="none" w:sz="0" w:space="0" w:color="auto"/>
                    <w:right w:val="none" w:sz="0" w:space="0" w:color="auto"/>
                  </w:divBdr>
                  <w:divsChild>
                    <w:div w:id="495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8767">
      <w:bodyDiv w:val="1"/>
      <w:marLeft w:val="0"/>
      <w:marRight w:val="0"/>
      <w:marTop w:val="0"/>
      <w:marBottom w:val="0"/>
      <w:divBdr>
        <w:top w:val="none" w:sz="0" w:space="0" w:color="auto"/>
        <w:left w:val="none" w:sz="0" w:space="0" w:color="auto"/>
        <w:bottom w:val="none" w:sz="0" w:space="0" w:color="auto"/>
        <w:right w:val="none" w:sz="0" w:space="0" w:color="auto"/>
      </w:divBdr>
    </w:div>
    <w:div w:id="289898476">
      <w:bodyDiv w:val="1"/>
      <w:marLeft w:val="0"/>
      <w:marRight w:val="0"/>
      <w:marTop w:val="0"/>
      <w:marBottom w:val="0"/>
      <w:divBdr>
        <w:top w:val="none" w:sz="0" w:space="0" w:color="auto"/>
        <w:left w:val="none" w:sz="0" w:space="0" w:color="auto"/>
        <w:bottom w:val="none" w:sz="0" w:space="0" w:color="auto"/>
        <w:right w:val="none" w:sz="0" w:space="0" w:color="auto"/>
      </w:divBdr>
    </w:div>
    <w:div w:id="314116435">
      <w:bodyDiv w:val="1"/>
      <w:marLeft w:val="0"/>
      <w:marRight w:val="0"/>
      <w:marTop w:val="0"/>
      <w:marBottom w:val="0"/>
      <w:divBdr>
        <w:top w:val="none" w:sz="0" w:space="0" w:color="auto"/>
        <w:left w:val="none" w:sz="0" w:space="0" w:color="auto"/>
        <w:bottom w:val="none" w:sz="0" w:space="0" w:color="auto"/>
        <w:right w:val="none" w:sz="0" w:space="0" w:color="auto"/>
      </w:divBdr>
    </w:div>
    <w:div w:id="405880223">
      <w:bodyDiv w:val="1"/>
      <w:marLeft w:val="0"/>
      <w:marRight w:val="0"/>
      <w:marTop w:val="0"/>
      <w:marBottom w:val="0"/>
      <w:divBdr>
        <w:top w:val="none" w:sz="0" w:space="0" w:color="auto"/>
        <w:left w:val="none" w:sz="0" w:space="0" w:color="auto"/>
        <w:bottom w:val="none" w:sz="0" w:space="0" w:color="auto"/>
        <w:right w:val="none" w:sz="0" w:space="0" w:color="auto"/>
      </w:divBdr>
    </w:div>
    <w:div w:id="575211082">
      <w:bodyDiv w:val="1"/>
      <w:marLeft w:val="0"/>
      <w:marRight w:val="0"/>
      <w:marTop w:val="0"/>
      <w:marBottom w:val="0"/>
      <w:divBdr>
        <w:top w:val="none" w:sz="0" w:space="0" w:color="auto"/>
        <w:left w:val="none" w:sz="0" w:space="0" w:color="auto"/>
        <w:bottom w:val="none" w:sz="0" w:space="0" w:color="auto"/>
        <w:right w:val="none" w:sz="0" w:space="0" w:color="auto"/>
      </w:divBdr>
    </w:div>
    <w:div w:id="644704310">
      <w:bodyDiv w:val="1"/>
      <w:marLeft w:val="0"/>
      <w:marRight w:val="0"/>
      <w:marTop w:val="0"/>
      <w:marBottom w:val="0"/>
      <w:divBdr>
        <w:top w:val="none" w:sz="0" w:space="0" w:color="auto"/>
        <w:left w:val="none" w:sz="0" w:space="0" w:color="auto"/>
        <w:bottom w:val="none" w:sz="0" w:space="0" w:color="auto"/>
        <w:right w:val="none" w:sz="0" w:space="0" w:color="auto"/>
      </w:divBdr>
    </w:div>
    <w:div w:id="647250901">
      <w:bodyDiv w:val="1"/>
      <w:marLeft w:val="0"/>
      <w:marRight w:val="0"/>
      <w:marTop w:val="0"/>
      <w:marBottom w:val="0"/>
      <w:divBdr>
        <w:top w:val="none" w:sz="0" w:space="0" w:color="auto"/>
        <w:left w:val="none" w:sz="0" w:space="0" w:color="auto"/>
        <w:bottom w:val="none" w:sz="0" w:space="0" w:color="auto"/>
        <w:right w:val="none" w:sz="0" w:space="0" w:color="auto"/>
      </w:divBdr>
    </w:div>
    <w:div w:id="962274939">
      <w:bodyDiv w:val="1"/>
      <w:marLeft w:val="0"/>
      <w:marRight w:val="0"/>
      <w:marTop w:val="0"/>
      <w:marBottom w:val="0"/>
      <w:divBdr>
        <w:top w:val="none" w:sz="0" w:space="0" w:color="auto"/>
        <w:left w:val="none" w:sz="0" w:space="0" w:color="auto"/>
        <w:bottom w:val="none" w:sz="0" w:space="0" w:color="auto"/>
        <w:right w:val="none" w:sz="0" w:space="0" w:color="auto"/>
      </w:divBdr>
    </w:div>
    <w:div w:id="1085882523">
      <w:bodyDiv w:val="1"/>
      <w:marLeft w:val="0"/>
      <w:marRight w:val="0"/>
      <w:marTop w:val="0"/>
      <w:marBottom w:val="0"/>
      <w:divBdr>
        <w:top w:val="none" w:sz="0" w:space="0" w:color="auto"/>
        <w:left w:val="none" w:sz="0" w:space="0" w:color="auto"/>
        <w:bottom w:val="none" w:sz="0" w:space="0" w:color="auto"/>
        <w:right w:val="none" w:sz="0" w:space="0" w:color="auto"/>
      </w:divBdr>
    </w:div>
    <w:div w:id="1161579664">
      <w:bodyDiv w:val="1"/>
      <w:marLeft w:val="0"/>
      <w:marRight w:val="0"/>
      <w:marTop w:val="0"/>
      <w:marBottom w:val="0"/>
      <w:divBdr>
        <w:top w:val="none" w:sz="0" w:space="0" w:color="auto"/>
        <w:left w:val="none" w:sz="0" w:space="0" w:color="auto"/>
        <w:bottom w:val="none" w:sz="0" w:space="0" w:color="auto"/>
        <w:right w:val="none" w:sz="0" w:space="0" w:color="auto"/>
      </w:divBdr>
      <w:divsChild>
        <w:div w:id="2004354037">
          <w:marLeft w:val="0"/>
          <w:marRight w:val="0"/>
          <w:marTop w:val="0"/>
          <w:marBottom w:val="0"/>
          <w:divBdr>
            <w:top w:val="none" w:sz="0" w:space="0" w:color="auto"/>
            <w:left w:val="none" w:sz="0" w:space="0" w:color="auto"/>
            <w:bottom w:val="none" w:sz="0" w:space="0" w:color="auto"/>
            <w:right w:val="none" w:sz="0" w:space="0" w:color="auto"/>
          </w:divBdr>
          <w:divsChild>
            <w:div w:id="343748624">
              <w:marLeft w:val="0"/>
              <w:marRight w:val="0"/>
              <w:marTop w:val="0"/>
              <w:marBottom w:val="0"/>
              <w:divBdr>
                <w:top w:val="none" w:sz="0" w:space="0" w:color="auto"/>
                <w:left w:val="none" w:sz="0" w:space="0" w:color="auto"/>
                <w:bottom w:val="none" w:sz="0" w:space="0" w:color="auto"/>
                <w:right w:val="none" w:sz="0" w:space="0" w:color="auto"/>
              </w:divBdr>
              <w:divsChild>
                <w:div w:id="1106271616">
                  <w:marLeft w:val="0"/>
                  <w:marRight w:val="0"/>
                  <w:marTop w:val="0"/>
                  <w:marBottom w:val="0"/>
                  <w:divBdr>
                    <w:top w:val="none" w:sz="0" w:space="0" w:color="auto"/>
                    <w:left w:val="single" w:sz="6" w:space="0" w:color="999999"/>
                    <w:bottom w:val="none" w:sz="0" w:space="0" w:color="auto"/>
                    <w:right w:val="single" w:sz="6" w:space="0" w:color="999999"/>
                  </w:divBdr>
                  <w:divsChild>
                    <w:div w:id="485587585">
                      <w:marLeft w:val="0"/>
                      <w:marRight w:val="0"/>
                      <w:marTop w:val="0"/>
                      <w:marBottom w:val="0"/>
                      <w:divBdr>
                        <w:top w:val="none" w:sz="0" w:space="0" w:color="auto"/>
                        <w:left w:val="none" w:sz="0" w:space="0" w:color="auto"/>
                        <w:bottom w:val="none" w:sz="0" w:space="0" w:color="auto"/>
                        <w:right w:val="none" w:sz="0" w:space="0" w:color="auto"/>
                      </w:divBdr>
                      <w:divsChild>
                        <w:div w:id="233974084">
                          <w:marLeft w:val="0"/>
                          <w:marRight w:val="0"/>
                          <w:marTop w:val="0"/>
                          <w:marBottom w:val="0"/>
                          <w:divBdr>
                            <w:top w:val="none" w:sz="0" w:space="0" w:color="auto"/>
                            <w:left w:val="none" w:sz="0" w:space="0" w:color="auto"/>
                            <w:bottom w:val="none" w:sz="0" w:space="0" w:color="auto"/>
                            <w:right w:val="none" w:sz="0" w:space="0" w:color="auto"/>
                          </w:divBdr>
                          <w:divsChild>
                            <w:div w:id="1135639631">
                              <w:marLeft w:val="0"/>
                              <w:marRight w:val="28"/>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00646">
      <w:bodyDiv w:val="1"/>
      <w:marLeft w:val="0"/>
      <w:marRight w:val="0"/>
      <w:marTop w:val="0"/>
      <w:marBottom w:val="0"/>
      <w:divBdr>
        <w:top w:val="none" w:sz="0" w:space="0" w:color="auto"/>
        <w:left w:val="none" w:sz="0" w:space="0" w:color="auto"/>
        <w:bottom w:val="none" w:sz="0" w:space="0" w:color="auto"/>
        <w:right w:val="none" w:sz="0" w:space="0" w:color="auto"/>
      </w:divBdr>
      <w:divsChild>
        <w:div w:id="8138864">
          <w:marLeft w:val="0"/>
          <w:marRight w:val="0"/>
          <w:marTop w:val="0"/>
          <w:marBottom w:val="0"/>
          <w:divBdr>
            <w:top w:val="none" w:sz="0" w:space="0" w:color="auto"/>
            <w:left w:val="none" w:sz="0" w:space="0" w:color="auto"/>
            <w:bottom w:val="none" w:sz="0" w:space="0" w:color="auto"/>
            <w:right w:val="none" w:sz="0" w:space="0" w:color="auto"/>
          </w:divBdr>
          <w:divsChild>
            <w:div w:id="1569923127">
              <w:marLeft w:val="0"/>
              <w:marRight w:val="0"/>
              <w:marTop w:val="0"/>
              <w:marBottom w:val="0"/>
              <w:divBdr>
                <w:top w:val="none" w:sz="0" w:space="0" w:color="auto"/>
                <w:left w:val="none" w:sz="0" w:space="0" w:color="auto"/>
                <w:bottom w:val="none" w:sz="0" w:space="0" w:color="auto"/>
                <w:right w:val="none" w:sz="0" w:space="0" w:color="auto"/>
              </w:divBdr>
              <w:divsChild>
                <w:div w:id="100994004">
                  <w:marLeft w:val="0"/>
                  <w:marRight w:val="0"/>
                  <w:marTop w:val="0"/>
                  <w:marBottom w:val="0"/>
                  <w:divBdr>
                    <w:top w:val="none" w:sz="0" w:space="0" w:color="auto"/>
                    <w:left w:val="none" w:sz="0" w:space="0" w:color="auto"/>
                    <w:bottom w:val="none" w:sz="0" w:space="0" w:color="auto"/>
                    <w:right w:val="none" w:sz="0" w:space="0" w:color="auto"/>
                  </w:divBdr>
                  <w:divsChild>
                    <w:div w:id="15593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3820">
      <w:bodyDiv w:val="1"/>
      <w:marLeft w:val="0"/>
      <w:marRight w:val="0"/>
      <w:marTop w:val="0"/>
      <w:marBottom w:val="0"/>
      <w:divBdr>
        <w:top w:val="none" w:sz="0" w:space="0" w:color="auto"/>
        <w:left w:val="none" w:sz="0" w:space="0" w:color="auto"/>
        <w:bottom w:val="none" w:sz="0" w:space="0" w:color="auto"/>
        <w:right w:val="none" w:sz="0" w:space="0" w:color="auto"/>
      </w:divBdr>
    </w:div>
    <w:div w:id="1350915344">
      <w:bodyDiv w:val="1"/>
      <w:marLeft w:val="0"/>
      <w:marRight w:val="0"/>
      <w:marTop w:val="0"/>
      <w:marBottom w:val="0"/>
      <w:divBdr>
        <w:top w:val="none" w:sz="0" w:space="0" w:color="auto"/>
        <w:left w:val="none" w:sz="0" w:space="0" w:color="auto"/>
        <w:bottom w:val="none" w:sz="0" w:space="0" w:color="auto"/>
        <w:right w:val="none" w:sz="0" w:space="0" w:color="auto"/>
      </w:divBdr>
    </w:div>
    <w:div w:id="1410693194">
      <w:bodyDiv w:val="1"/>
      <w:marLeft w:val="0"/>
      <w:marRight w:val="0"/>
      <w:marTop w:val="0"/>
      <w:marBottom w:val="0"/>
      <w:divBdr>
        <w:top w:val="none" w:sz="0" w:space="0" w:color="auto"/>
        <w:left w:val="none" w:sz="0" w:space="0" w:color="auto"/>
        <w:bottom w:val="none" w:sz="0" w:space="0" w:color="auto"/>
        <w:right w:val="none" w:sz="0" w:space="0" w:color="auto"/>
      </w:divBdr>
    </w:div>
    <w:div w:id="1557086188">
      <w:bodyDiv w:val="1"/>
      <w:marLeft w:val="0"/>
      <w:marRight w:val="0"/>
      <w:marTop w:val="0"/>
      <w:marBottom w:val="0"/>
      <w:divBdr>
        <w:top w:val="none" w:sz="0" w:space="0" w:color="auto"/>
        <w:left w:val="none" w:sz="0" w:space="0" w:color="auto"/>
        <w:bottom w:val="none" w:sz="0" w:space="0" w:color="auto"/>
        <w:right w:val="none" w:sz="0" w:space="0" w:color="auto"/>
      </w:divBdr>
    </w:div>
    <w:div w:id="1560751202">
      <w:bodyDiv w:val="1"/>
      <w:marLeft w:val="0"/>
      <w:marRight w:val="0"/>
      <w:marTop w:val="0"/>
      <w:marBottom w:val="0"/>
      <w:divBdr>
        <w:top w:val="none" w:sz="0" w:space="0" w:color="auto"/>
        <w:left w:val="none" w:sz="0" w:space="0" w:color="auto"/>
        <w:bottom w:val="none" w:sz="0" w:space="0" w:color="auto"/>
        <w:right w:val="none" w:sz="0" w:space="0" w:color="auto"/>
      </w:divBdr>
    </w:div>
    <w:div w:id="1704557123">
      <w:bodyDiv w:val="1"/>
      <w:marLeft w:val="0"/>
      <w:marRight w:val="0"/>
      <w:marTop w:val="0"/>
      <w:marBottom w:val="0"/>
      <w:divBdr>
        <w:top w:val="none" w:sz="0" w:space="0" w:color="auto"/>
        <w:left w:val="none" w:sz="0" w:space="0" w:color="auto"/>
        <w:bottom w:val="none" w:sz="0" w:space="0" w:color="auto"/>
        <w:right w:val="none" w:sz="0" w:space="0" w:color="auto"/>
      </w:divBdr>
    </w:div>
    <w:div w:id="1714621754">
      <w:bodyDiv w:val="1"/>
      <w:marLeft w:val="0"/>
      <w:marRight w:val="0"/>
      <w:marTop w:val="0"/>
      <w:marBottom w:val="0"/>
      <w:divBdr>
        <w:top w:val="none" w:sz="0" w:space="0" w:color="auto"/>
        <w:left w:val="none" w:sz="0" w:space="0" w:color="auto"/>
        <w:bottom w:val="none" w:sz="0" w:space="0" w:color="auto"/>
        <w:right w:val="none" w:sz="0" w:space="0" w:color="auto"/>
      </w:divBdr>
    </w:div>
    <w:div w:id="1803645658">
      <w:bodyDiv w:val="1"/>
      <w:marLeft w:val="0"/>
      <w:marRight w:val="0"/>
      <w:marTop w:val="0"/>
      <w:marBottom w:val="0"/>
      <w:divBdr>
        <w:top w:val="none" w:sz="0" w:space="0" w:color="auto"/>
        <w:left w:val="none" w:sz="0" w:space="0" w:color="auto"/>
        <w:bottom w:val="none" w:sz="0" w:space="0" w:color="auto"/>
        <w:right w:val="none" w:sz="0" w:space="0" w:color="auto"/>
      </w:divBdr>
    </w:div>
    <w:div w:id="1805080226">
      <w:bodyDiv w:val="1"/>
      <w:marLeft w:val="0"/>
      <w:marRight w:val="0"/>
      <w:marTop w:val="0"/>
      <w:marBottom w:val="0"/>
      <w:divBdr>
        <w:top w:val="none" w:sz="0" w:space="0" w:color="auto"/>
        <w:left w:val="none" w:sz="0" w:space="0" w:color="auto"/>
        <w:bottom w:val="none" w:sz="0" w:space="0" w:color="auto"/>
        <w:right w:val="none" w:sz="0" w:space="0" w:color="auto"/>
      </w:divBdr>
    </w:div>
    <w:div w:id="1892420053">
      <w:bodyDiv w:val="1"/>
      <w:marLeft w:val="0"/>
      <w:marRight w:val="0"/>
      <w:marTop w:val="0"/>
      <w:marBottom w:val="0"/>
      <w:divBdr>
        <w:top w:val="none" w:sz="0" w:space="0" w:color="auto"/>
        <w:left w:val="none" w:sz="0" w:space="0" w:color="auto"/>
        <w:bottom w:val="none" w:sz="0" w:space="0" w:color="auto"/>
        <w:right w:val="none" w:sz="0" w:space="0" w:color="auto"/>
      </w:divBdr>
    </w:div>
    <w:div w:id="1910573338">
      <w:bodyDiv w:val="1"/>
      <w:marLeft w:val="0"/>
      <w:marRight w:val="0"/>
      <w:marTop w:val="0"/>
      <w:marBottom w:val="0"/>
      <w:divBdr>
        <w:top w:val="none" w:sz="0" w:space="0" w:color="auto"/>
        <w:left w:val="none" w:sz="0" w:space="0" w:color="auto"/>
        <w:bottom w:val="none" w:sz="0" w:space="0" w:color="auto"/>
        <w:right w:val="none" w:sz="0" w:space="0" w:color="auto"/>
      </w:divBdr>
    </w:div>
    <w:div w:id="19869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yperlink" Target="http://www.bom.gov.au/jsp/awap/" TargetMode="External"/><Relationship Id="rId47" Type="http://schemas.openxmlformats.org/officeDocument/2006/relationships/hyperlink" Target="http://www.bom.gov.au/climate/enso/" TargetMode="External"/><Relationship Id="rId50" Type="http://schemas.openxmlformats.org/officeDocument/2006/relationships/hyperlink" Target="http://www.water.nsw.gov.au/Home/default.aspx" TargetMode="External"/><Relationship Id="rId55" Type="http://schemas.openxmlformats.org/officeDocument/2006/relationships/hyperlink" Target="http://www.sawater.com.au/SAWater/Environment/TheRiverMurray/River+Murray+Levels.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timesofindia.indiatimes.com/topic/monsoon" TargetMode="External"/><Relationship Id="rId29" Type="http://schemas.openxmlformats.org/officeDocument/2006/relationships/image" Target="media/image17.png"/><Relationship Id="rId41" Type="http://schemas.openxmlformats.org/officeDocument/2006/relationships/hyperlink" Target="http://www.bom.gov.au/jsp/awap/rain/index.jsp" TargetMode="External"/><Relationship Id="rId54" Type="http://schemas.openxmlformats.org/officeDocument/2006/relationships/hyperlink" Target="http://seqwater.com.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yperlink" Target="http://www.bom.gov.au/climate/ahead" TargetMode="External"/><Relationship Id="rId53" Type="http://schemas.openxmlformats.org/officeDocument/2006/relationships/hyperlink" Target="http://www.sunwater.com.au" TargetMode="External"/><Relationship Id="rId58" Type="http://schemas.openxmlformats.org/officeDocument/2006/relationships/hyperlink" Target="http://www.waterexchange.com.a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waterinfo.nsw.gov.au/" TargetMode="External"/><Relationship Id="rId57" Type="http://schemas.openxmlformats.org/officeDocument/2006/relationships/hyperlink" Target="http://www.g-mwater.com.au" TargetMode="External"/><Relationship Id="rId61" Type="http://schemas.openxmlformats.org/officeDocument/2006/relationships/hyperlink" Target="http://www.mla.com.au/Prices-and-markets" TargetMode="External"/><Relationship Id="rId10" Type="http://schemas.openxmlformats.org/officeDocument/2006/relationships/hyperlink" Target="http://www.bom.gov.au/climate/current/weeklyrain.shtml" TargetMode="External"/><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hyperlink" Target="http://www.bom.gov.au/jsp/watl/rainfall/pme.jsp" TargetMode="External"/><Relationship Id="rId52" Type="http://schemas.openxmlformats.org/officeDocument/2006/relationships/hyperlink" Target="http://www.snowyhydro.com.au/lakeLevels.asp?pageID=47&amp;parentID=61&amp;grandParentID=4" TargetMode="External"/><Relationship Id="rId60" Type="http://schemas.openxmlformats.org/officeDocument/2006/relationships/hyperlink" Target="http://theland.farmonline.com.au/markets.aspx" TargetMode="External"/><Relationship Id="rId4" Type="http://schemas.openxmlformats.org/officeDocument/2006/relationships/settings" Target="settings.xml"/><Relationship Id="rId9" Type="http://schemas.openxmlformats.org/officeDocument/2006/relationships/hyperlink" Target="http://www.daff.gov.au/abares"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bom.gov.au/jsp/awap/" TargetMode="External"/><Relationship Id="rId48" Type="http://schemas.openxmlformats.org/officeDocument/2006/relationships/hyperlink" Target="http://www.eoc.csiro.au/awap/" TargetMode="External"/><Relationship Id="rId56" Type="http://schemas.openxmlformats.org/officeDocument/2006/relationships/hyperlink" Target="http://www.waterforgood.sa.gov.au/" TargetMode="External"/><Relationship Id="rId8" Type="http://schemas.openxmlformats.org/officeDocument/2006/relationships/image" Target="media/image2.jpeg"/><Relationship Id="rId51" Type="http://schemas.openxmlformats.org/officeDocument/2006/relationships/hyperlink" Target="http://www.wix.nsw.gov.au/wma/DeterminationSearch.jsp?selectedRegister=Determination" TargetMode="External"/><Relationship Id="rId3" Type="http://schemas.openxmlformats.org/officeDocument/2006/relationships/styles" Target="styles.xml"/><Relationship Id="rId12" Type="http://schemas.openxmlformats.org/officeDocument/2006/relationships/hyperlink" Target="http://www.bom.gov.au/jsp/awap/" TargetMode="External"/><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http://www.bom.gov.au/climate/drought/drought.shtml" TargetMode="External"/><Relationship Id="rId59" Type="http://schemas.openxmlformats.org/officeDocument/2006/relationships/hyperlink" Target="http://www.datafresh.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limateUpdate@daff.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3C7C-E190-4E24-A51A-3927BD94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1630</Words>
  <Characters>10313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11920</CharactersWithSpaces>
  <SharedDoc>false</SharedDoc>
  <HLinks>
    <vt:vector size="150" baseType="variant">
      <vt:variant>
        <vt:i4>589898</vt:i4>
      </vt:variant>
      <vt:variant>
        <vt:i4>69</vt:i4>
      </vt:variant>
      <vt:variant>
        <vt:i4>0</vt:i4>
      </vt:variant>
      <vt:variant>
        <vt:i4>5</vt:i4>
      </vt:variant>
      <vt:variant>
        <vt:lpwstr>http://www.mla.com.au/Prices-and-markets</vt:lpwstr>
      </vt:variant>
      <vt:variant>
        <vt:lpwstr/>
      </vt:variant>
      <vt:variant>
        <vt:i4>4456512</vt:i4>
      </vt:variant>
      <vt:variant>
        <vt:i4>66</vt:i4>
      </vt:variant>
      <vt:variant>
        <vt:i4>0</vt:i4>
      </vt:variant>
      <vt:variant>
        <vt:i4>5</vt:i4>
      </vt:variant>
      <vt:variant>
        <vt:lpwstr>http://theland.farmonline.com.au/markets.aspx</vt:lpwstr>
      </vt:variant>
      <vt:variant>
        <vt:lpwstr/>
      </vt:variant>
      <vt:variant>
        <vt:i4>1048651</vt:i4>
      </vt:variant>
      <vt:variant>
        <vt:i4>63</vt:i4>
      </vt:variant>
      <vt:variant>
        <vt:i4>0</vt:i4>
      </vt:variant>
      <vt:variant>
        <vt:i4>5</vt:i4>
      </vt:variant>
      <vt:variant>
        <vt:lpwstr>http://www.datafresh.com.au/</vt:lpwstr>
      </vt:variant>
      <vt:variant>
        <vt:lpwstr/>
      </vt:variant>
      <vt:variant>
        <vt:i4>65614</vt:i4>
      </vt:variant>
      <vt:variant>
        <vt:i4>60</vt:i4>
      </vt:variant>
      <vt:variant>
        <vt:i4>0</vt:i4>
      </vt:variant>
      <vt:variant>
        <vt:i4>5</vt:i4>
      </vt:variant>
      <vt:variant>
        <vt:lpwstr>http://www.waterexchange.com.au/</vt:lpwstr>
      </vt:variant>
      <vt:variant>
        <vt:lpwstr/>
      </vt:variant>
      <vt:variant>
        <vt:i4>4128867</vt:i4>
      </vt:variant>
      <vt:variant>
        <vt:i4>57</vt:i4>
      </vt:variant>
      <vt:variant>
        <vt:i4>0</vt:i4>
      </vt:variant>
      <vt:variant>
        <vt:i4>5</vt:i4>
      </vt:variant>
      <vt:variant>
        <vt:lpwstr>http://www.g-mwater.com.au/</vt:lpwstr>
      </vt:variant>
      <vt:variant>
        <vt:lpwstr/>
      </vt:variant>
      <vt:variant>
        <vt:i4>2949154</vt:i4>
      </vt:variant>
      <vt:variant>
        <vt:i4>54</vt:i4>
      </vt:variant>
      <vt:variant>
        <vt:i4>0</vt:i4>
      </vt:variant>
      <vt:variant>
        <vt:i4>5</vt:i4>
      </vt:variant>
      <vt:variant>
        <vt:lpwstr>http://www.waterforgood.sa.gov.au/</vt:lpwstr>
      </vt:variant>
      <vt:variant>
        <vt:lpwstr/>
      </vt:variant>
      <vt:variant>
        <vt:i4>5373962</vt:i4>
      </vt:variant>
      <vt:variant>
        <vt:i4>51</vt:i4>
      </vt:variant>
      <vt:variant>
        <vt:i4>0</vt:i4>
      </vt:variant>
      <vt:variant>
        <vt:i4>5</vt:i4>
      </vt:variant>
      <vt:variant>
        <vt:lpwstr>http://www.sawater.com.au/SAWater/Environment/TheRiverMurray/River+Murray+Levels.htm</vt:lpwstr>
      </vt:variant>
      <vt:variant>
        <vt:lpwstr/>
      </vt:variant>
      <vt:variant>
        <vt:i4>3604594</vt:i4>
      </vt:variant>
      <vt:variant>
        <vt:i4>48</vt:i4>
      </vt:variant>
      <vt:variant>
        <vt:i4>0</vt:i4>
      </vt:variant>
      <vt:variant>
        <vt:i4>5</vt:i4>
      </vt:variant>
      <vt:variant>
        <vt:lpwstr>http://seqwater.com.au/</vt:lpwstr>
      </vt:variant>
      <vt:variant>
        <vt:lpwstr/>
      </vt:variant>
      <vt:variant>
        <vt:i4>2621499</vt:i4>
      </vt:variant>
      <vt:variant>
        <vt:i4>45</vt:i4>
      </vt:variant>
      <vt:variant>
        <vt:i4>0</vt:i4>
      </vt:variant>
      <vt:variant>
        <vt:i4>5</vt:i4>
      </vt:variant>
      <vt:variant>
        <vt:lpwstr>http://www.sunwater.com.au/</vt:lpwstr>
      </vt:variant>
      <vt:variant>
        <vt:lpwstr/>
      </vt:variant>
      <vt:variant>
        <vt:i4>1966087</vt:i4>
      </vt:variant>
      <vt:variant>
        <vt:i4>42</vt:i4>
      </vt:variant>
      <vt:variant>
        <vt:i4>0</vt:i4>
      </vt:variant>
      <vt:variant>
        <vt:i4>5</vt:i4>
      </vt:variant>
      <vt:variant>
        <vt:lpwstr>http://www.snowyhydro.com.au/lakeLevels.asp?pageID=47&amp;parentID=61&amp;grandParentID=4</vt:lpwstr>
      </vt:variant>
      <vt:variant>
        <vt:lpwstr/>
      </vt:variant>
      <vt:variant>
        <vt:i4>6029407</vt:i4>
      </vt:variant>
      <vt:variant>
        <vt:i4>39</vt:i4>
      </vt:variant>
      <vt:variant>
        <vt:i4>0</vt:i4>
      </vt:variant>
      <vt:variant>
        <vt:i4>5</vt:i4>
      </vt:variant>
      <vt:variant>
        <vt:lpwstr>http://www.wix.nsw.gov.au/wma/DeterminationSearch.jsp?selectedRegister=Determination</vt:lpwstr>
      </vt:variant>
      <vt:variant>
        <vt:lpwstr/>
      </vt:variant>
      <vt:variant>
        <vt:i4>262156</vt:i4>
      </vt:variant>
      <vt:variant>
        <vt:i4>36</vt:i4>
      </vt:variant>
      <vt:variant>
        <vt:i4>0</vt:i4>
      </vt:variant>
      <vt:variant>
        <vt:i4>5</vt:i4>
      </vt:variant>
      <vt:variant>
        <vt:lpwstr>http://www.water.nsw.gov.au/Home/default.aspx</vt:lpwstr>
      </vt:variant>
      <vt:variant>
        <vt:lpwstr/>
      </vt:variant>
      <vt:variant>
        <vt:i4>1900613</vt:i4>
      </vt:variant>
      <vt:variant>
        <vt:i4>33</vt:i4>
      </vt:variant>
      <vt:variant>
        <vt:i4>0</vt:i4>
      </vt:variant>
      <vt:variant>
        <vt:i4>5</vt:i4>
      </vt:variant>
      <vt:variant>
        <vt:lpwstr>http://waterinfo.nsw.gov.au/</vt:lpwstr>
      </vt:variant>
      <vt:variant>
        <vt:lpwstr/>
      </vt:variant>
      <vt:variant>
        <vt:i4>65611</vt:i4>
      </vt:variant>
      <vt:variant>
        <vt:i4>30</vt:i4>
      </vt:variant>
      <vt:variant>
        <vt:i4>0</vt:i4>
      </vt:variant>
      <vt:variant>
        <vt:i4>5</vt:i4>
      </vt:variant>
      <vt:variant>
        <vt:lpwstr>http://www.eoc.csiro.au/awap/</vt:lpwstr>
      </vt:variant>
      <vt:variant>
        <vt:lpwstr/>
      </vt:variant>
      <vt:variant>
        <vt:i4>2097213</vt:i4>
      </vt:variant>
      <vt:variant>
        <vt:i4>27</vt:i4>
      </vt:variant>
      <vt:variant>
        <vt:i4>0</vt:i4>
      </vt:variant>
      <vt:variant>
        <vt:i4>5</vt:i4>
      </vt:variant>
      <vt:variant>
        <vt:lpwstr>http://www.bom.gov.au/climate/enso/</vt:lpwstr>
      </vt:variant>
      <vt:variant>
        <vt:lpwstr/>
      </vt:variant>
      <vt:variant>
        <vt:i4>2424876</vt:i4>
      </vt:variant>
      <vt:variant>
        <vt:i4>24</vt:i4>
      </vt:variant>
      <vt:variant>
        <vt:i4>0</vt:i4>
      </vt:variant>
      <vt:variant>
        <vt:i4>5</vt:i4>
      </vt:variant>
      <vt:variant>
        <vt:lpwstr>http://www.bom.gov.au/climate/drought/drought.shtml</vt:lpwstr>
      </vt:variant>
      <vt:variant>
        <vt:lpwstr/>
      </vt:variant>
      <vt:variant>
        <vt:i4>2621487</vt:i4>
      </vt:variant>
      <vt:variant>
        <vt:i4>21</vt:i4>
      </vt:variant>
      <vt:variant>
        <vt:i4>0</vt:i4>
      </vt:variant>
      <vt:variant>
        <vt:i4>5</vt:i4>
      </vt:variant>
      <vt:variant>
        <vt:lpwstr>http://www.bom.gov.au/climate/ahead</vt:lpwstr>
      </vt:variant>
      <vt:variant>
        <vt:lpwstr/>
      </vt:variant>
      <vt:variant>
        <vt:i4>2359406</vt:i4>
      </vt:variant>
      <vt:variant>
        <vt:i4>18</vt:i4>
      </vt:variant>
      <vt:variant>
        <vt:i4>0</vt:i4>
      </vt:variant>
      <vt:variant>
        <vt:i4>5</vt:i4>
      </vt:variant>
      <vt:variant>
        <vt:lpwstr>http://www.bom.gov.au/jsp/watl/rainfall/pme.jsp</vt:lpwstr>
      </vt:variant>
      <vt:variant>
        <vt:lpwstr/>
      </vt:variant>
      <vt:variant>
        <vt:i4>2097215</vt:i4>
      </vt:variant>
      <vt:variant>
        <vt:i4>15</vt:i4>
      </vt:variant>
      <vt:variant>
        <vt:i4>0</vt:i4>
      </vt:variant>
      <vt:variant>
        <vt:i4>5</vt:i4>
      </vt:variant>
      <vt:variant>
        <vt:lpwstr>http://www.bom.gov.au/jsp/awap/</vt:lpwstr>
      </vt:variant>
      <vt:variant>
        <vt:lpwstr/>
      </vt:variant>
      <vt:variant>
        <vt:i4>2097215</vt:i4>
      </vt:variant>
      <vt:variant>
        <vt:i4>12</vt:i4>
      </vt:variant>
      <vt:variant>
        <vt:i4>0</vt:i4>
      </vt:variant>
      <vt:variant>
        <vt:i4>5</vt:i4>
      </vt:variant>
      <vt:variant>
        <vt:lpwstr>http://www.bom.gov.au/jsp/awap/</vt:lpwstr>
      </vt:variant>
      <vt:variant>
        <vt:lpwstr/>
      </vt:variant>
      <vt:variant>
        <vt:i4>4325376</vt:i4>
      </vt:variant>
      <vt:variant>
        <vt:i4>9</vt:i4>
      </vt:variant>
      <vt:variant>
        <vt:i4>0</vt:i4>
      </vt:variant>
      <vt:variant>
        <vt:i4>5</vt:i4>
      </vt:variant>
      <vt:variant>
        <vt:lpwstr>http://www.bom.gov.au/jsp/awap/rain/index.jsp</vt:lpwstr>
      </vt:variant>
      <vt:variant>
        <vt:lpwstr/>
      </vt:variant>
      <vt:variant>
        <vt:i4>2097215</vt:i4>
      </vt:variant>
      <vt:variant>
        <vt:i4>6</vt:i4>
      </vt:variant>
      <vt:variant>
        <vt:i4>0</vt:i4>
      </vt:variant>
      <vt:variant>
        <vt:i4>5</vt:i4>
      </vt:variant>
      <vt:variant>
        <vt:lpwstr>http://www.bom.gov.au/jsp/awap/</vt:lpwstr>
      </vt:variant>
      <vt:variant>
        <vt:lpwstr/>
      </vt:variant>
      <vt:variant>
        <vt:i4>7602277</vt:i4>
      </vt:variant>
      <vt:variant>
        <vt:i4>3</vt:i4>
      </vt:variant>
      <vt:variant>
        <vt:i4>0</vt:i4>
      </vt:variant>
      <vt:variant>
        <vt:i4>5</vt:i4>
      </vt:variant>
      <vt:variant>
        <vt:lpwstr>http://www.bom.gov.au/climate/current/weeklyrain.shtml</vt:lpwstr>
      </vt:variant>
      <vt:variant>
        <vt:lpwstr/>
      </vt:variant>
      <vt:variant>
        <vt:i4>5636120</vt:i4>
      </vt:variant>
      <vt:variant>
        <vt:i4>0</vt:i4>
      </vt:variant>
      <vt:variant>
        <vt:i4>0</vt:i4>
      </vt:variant>
      <vt:variant>
        <vt:i4>5</vt:i4>
      </vt:variant>
      <vt:variant>
        <vt:lpwstr>http://www.daff.gov.au/abares</vt:lpwstr>
      </vt:variant>
      <vt:variant>
        <vt:lpwstr/>
      </vt:variant>
      <vt:variant>
        <vt:i4>109</vt:i4>
      </vt:variant>
      <vt:variant>
        <vt:i4>0</vt:i4>
      </vt:variant>
      <vt:variant>
        <vt:i4>0</vt:i4>
      </vt:variant>
      <vt:variant>
        <vt:i4>5</vt:i4>
      </vt:variant>
      <vt:variant>
        <vt:lpwstr>mailto:ClimateUpdate@daff.gov.au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georgeson lee</dc:creator>
  <cp:lastModifiedBy>Guy Barrett</cp:lastModifiedBy>
  <cp:revision>6</cp:revision>
  <cp:lastPrinted>2012-06-21T02:20:00Z</cp:lastPrinted>
  <dcterms:created xsi:type="dcterms:W3CDTF">2012-06-21T04:44:00Z</dcterms:created>
  <dcterms:modified xsi:type="dcterms:W3CDTF">2012-06-21T06:51:00Z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-722240764</vt:i4>
  </property>
</Properties>
</file>