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ACC" w:rsidRDefault="00F17B4D" w:rsidP="004620F2">
      <w:pPr>
        <w:pStyle w:val="Heading2"/>
        <w:keepNext w:val="0"/>
        <w:keepLines w:val="0"/>
        <w:widowControl w:val="0"/>
        <w:spacing w:before="1920" w:after="120"/>
        <w:ind w:left="198"/>
        <w:rPr>
          <w:rFonts w:cs="Arial"/>
          <w:noProof/>
          <w:lang w:eastAsia="en-AU"/>
        </w:rPr>
      </w:pPr>
      <w:r>
        <w:rPr>
          <w:rFonts w:cs="Arial"/>
          <w:b/>
          <w:bCs w:val="0"/>
          <w:noProof/>
          <w:color w:val="FF0000"/>
          <w:lang w:eastAsia="en-AU"/>
        </w:rPr>
        <w:drawing>
          <wp:anchor distT="0" distB="0" distL="114300" distR="114300" simplePos="0" relativeHeight="251657728" behindDoc="1" locked="0" layoutInCell="1" allowOverlap="1">
            <wp:simplePos x="0" y="0"/>
            <wp:positionH relativeFrom="margin">
              <wp:posOffset>-608965</wp:posOffset>
            </wp:positionH>
            <wp:positionV relativeFrom="margin">
              <wp:posOffset>-831850</wp:posOffset>
            </wp:positionV>
            <wp:extent cx="7075805" cy="2865755"/>
            <wp:effectExtent l="19050" t="0" r="0" b="0"/>
            <wp:wrapNone/>
            <wp:docPr id="32" name="Picture 2" descr="Australian Government&#10;Department of Agriculture, Fisheries and Forestry&#10;Australian Bureau of Agricultural and Resource Economics and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Government&#10;Department of Agriculture, Fisheries and Forestry&#10;Australian Bureau of Agricultural and Resource Economics and Sciences"/>
                    <pic:cNvPicPr>
                      <a:picLocks noChangeAspect="1" noChangeArrowheads="1"/>
                    </pic:cNvPicPr>
                  </pic:nvPicPr>
                  <pic:blipFill>
                    <a:blip r:embed="rId8" cstate="print"/>
                    <a:srcRect/>
                    <a:stretch>
                      <a:fillRect/>
                    </a:stretch>
                  </pic:blipFill>
                  <pic:spPr bwMode="auto">
                    <a:xfrm>
                      <a:off x="0" y="0"/>
                      <a:ext cx="7075805" cy="2865755"/>
                    </a:xfrm>
                    <a:prstGeom prst="rect">
                      <a:avLst/>
                    </a:prstGeom>
                    <a:noFill/>
                    <a:ln w="9525">
                      <a:noFill/>
                      <a:miter lim="800000"/>
                      <a:headEnd/>
                      <a:tailEnd/>
                    </a:ln>
                  </pic:spPr>
                </pic:pic>
              </a:graphicData>
            </a:graphic>
          </wp:anchor>
        </w:drawing>
      </w:r>
      <w:r w:rsidR="00F24DDB">
        <w:rPr>
          <w:rFonts w:cs="Arial"/>
          <w:noProof/>
          <w:lang w:eastAsia="en-AU"/>
        </w:rPr>
        <w:t>7</w:t>
      </w:r>
      <w:r w:rsidR="00D47A44">
        <w:rPr>
          <w:rFonts w:cs="Arial"/>
          <w:noProof/>
          <w:lang w:eastAsia="en-AU"/>
        </w:rPr>
        <w:t xml:space="preserve"> June</w:t>
      </w:r>
      <w:r w:rsidR="00B91946">
        <w:rPr>
          <w:rFonts w:cs="Arial"/>
          <w:noProof/>
          <w:lang w:eastAsia="en-AU"/>
        </w:rPr>
        <w:t xml:space="preserve"> 2012</w:t>
      </w:r>
    </w:p>
    <w:p w:rsidR="003C5ACC" w:rsidRDefault="00B91946">
      <w:pPr>
        <w:ind w:left="196"/>
        <w:rPr>
          <w:rFonts w:ascii="Calibri" w:hAnsi="Calibri" w:cs="Arial"/>
          <w:sz w:val="22"/>
          <w:szCs w:val="22"/>
        </w:rPr>
      </w:pPr>
      <w:r>
        <w:rPr>
          <w:rFonts w:ascii="Calibri" w:hAnsi="Calibri" w:cs="Arial"/>
          <w:sz w:val="22"/>
          <w:szCs w:val="22"/>
        </w:rPr>
        <w:t xml:space="preserve">The full report is available from </w:t>
      </w:r>
      <w:hyperlink r:id="rId9" w:history="1">
        <w:r>
          <w:rPr>
            <w:rStyle w:val="Hyperlink"/>
            <w:rFonts w:ascii="Calibri" w:hAnsi="Calibri" w:cs="Arial"/>
            <w:b/>
            <w:sz w:val="22"/>
            <w:szCs w:val="22"/>
          </w:rPr>
          <w:t>www.daff.gov.au/abares</w:t>
        </w:r>
      </w:hyperlink>
    </w:p>
    <w:p w:rsidR="003C5ACC" w:rsidRPr="00A64DCB" w:rsidRDefault="00B91946">
      <w:pPr>
        <w:pStyle w:val="Heading1"/>
        <w:keepNext w:val="0"/>
        <w:keepLines w:val="0"/>
        <w:pageBreakBefore w:val="0"/>
        <w:widowControl w:val="0"/>
        <w:numPr>
          <w:ilvl w:val="0"/>
          <w:numId w:val="0"/>
        </w:numPr>
        <w:spacing w:before="200" w:after="120"/>
        <w:ind w:left="196" w:firstLine="14"/>
        <w:rPr>
          <w:color w:val="auto"/>
        </w:rPr>
      </w:pPr>
      <w:r w:rsidRPr="00A64DCB">
        <w:rPr>
          <w:color w:val="auto"/>
        </w:rPr>
        <w:t>Summary of key issues</w:t>
      </w:r>
    </w:p>
    <w:p w:rsidR="002C7CDF" w:rsidRDefault="00CD1C47" w:rsidP="00B9435B">
      <w:pPr>
        <w:pStyle w:val="ListBullet"/>
        <w:numPr>
          <w:ilvl w:val="0"/>
          <w:numId w:val="2"/>
        </w:numPr>
        <w:spacing w:before="80"/>
        <w:ind w:left="426" w:hanging="426"/>
        <w:rPr>
          <w:rFonts w:ascii="Calibri" w:hAnsi="Calibri" w:cs="Arial"/>
          <w:bCs/>
          <w:sz w:val="24"/>
          <w:lang w:eastAsia="en-US"/>
        </w:rPr>
      </w:pPr>
      <w:r w:rsidRPr="00D47A44">
        <w:rPr>
          <w:rFonts w:ascii="Calibri" w:hAnsi="Calibri" w:cs="Arial"/>
          <w:bCs/>
          <w:sz w:val="24"/>
          <w:lang w:eastAsia="en-US"/>
        </w:rPr>
        <w:t>R</w:t>
      </w:r>
      <w:r w:rsidR="003F39B8">
        <w:rPr>
          <w:rFonts w:ascii="Calibri" w:hAnsi="Calibri" w:cs="Arial"/>
          <w:bCs/>
          <w:sz w:val="24"/>
          <w:lang w:eastAsia="en-US"/>
        </w:rPr>
        <w:t xml:space="preserve">ecent </w:t>
      </w:r>
      <w:r w:rsidR="002C7CDF">
        <w:rPr>
          <w:rFonts w:ascii="Calibri" w:hAnsi="Calibri" w:cs="Arial"/>
          <w:bCs/>
          <w:sz w:val="24"/>
          <w:lang w:eastAsia="en-US"/>
        </w:rPr>
        <w:t xml:space="preserve">heavy </w:t>
      </w:r>
      <w:r w:rsidR="003F39B8">
        <w:rPr>
          <w:rFonts w:ascii="Calibri" w:hAnsi="Calibri" w:cs="Arial"/>
          <w:bCs/>
          <w:sz w:val="24"/>
          <w:lang w:eastAsia="en-US"/>
        </w:rPr>
        <w:t>r</w:t>
      </w:r>
      <w:r w:rsidR="00E87F7D" w:rsidRPr="00D47A44">
        <w:rPr>
          <w:rFonts w:ascii="Calibri" w:hAnsi="Calibri" w:cs="Arial"/>
          <w:bCs/>
          <w:sz w:val="24"/>
          <w:lang w:eastAsia="en-US"/>
        </w:rPr>
        <w:t>ainfall</w:t>
      </w:r>
      <w:r w:rsidR="002C7CDF">
        <w:rPr>
          <w:rFonts w:ascii="Calibri" w:hAnsi="Calibri" w:cs="Arial"/>
          <w:bCs/>
          <w:sz w:val="24"/>
          <w:lang w:eastAsia="en-US"/>
        </w:rPr>
        <w:t xml:space="preserve"> in south eastern Australia has led to flooding of some dairy and vegetable</w:t>
      </w:r>
      <w:r w:rsidR="002C7CDF" w:rsidRPr="00D47A44">
        <w:rPr>
          <w:rFonts w:ascii="Calibri" w:hAnsi="Calibri" w:cs="Arial"/>
          <w:bCs/>
          <w:sz w:val="24"/>
          <w:lang w:eastAsia="en-US"/>
        </w:rPr>
        <w:t xml:space="preserve"> farmlands</w:t>
      </w:r>
      <w:r w:rsidR="002C7CDF">
        <w:rPr>
          <w:rFonts w:ascii="Calibri" w:hAnsi="Calibri" w:cs="Arial"/>
          <w:bCs/>
          <w:sz w:val="24"/>
          <w:lang w:eastAsia="en-US"/>
        </w:rPr>
        <w:t xml:space="preserve"> in </w:t>
      </w:r>
      <w:r w:rsidR="00A64DCB">
        <w:rPr>
          <w:rFonts w:ascii="Calibri" w:hAnsi="Calibri" w:cs="Arial"/>
          <w:bCs/>
          <w:sz w:val="24"/>
          <w:lang w:eastAsia="en-US"/>
        </w:rPr>
        <w:t>south eastern</w:t>
      </w:r>
      <w:r w:rsidR="002C7CDF">
        <w:rPr>
          <w:rFonts w:ascii="Calibri" w:hAnsi="Calibri" w:cs="Arial"/>
          <w:bCs/>
          <w:sz w:val="24"/>
          <w:lang w:eastAsia="en-US"/>
        </w:rPr>
        <w:t xml:space="preserve"> </w:t>
      </w:r>
      <w:r w:rsidR="00C224DE">
        <w:rPr>
          <w:rFonts w:ascii="Calibri" w:hAnsi="Calibri" w:cs="Arial"/>
          <w:bCs/>
          <w:sz w:val="24"/>
          <w:lang w:eastAsia="en-US"/>
        </w:rPr>
        <w:t>Victoria.</w:t>
      </w:r>
      <w:r w:rsidR="00A64DCB">
        <w:rPr>
          <w:rFonts w:ascii="Calibri" w:hAnsi="Calibri" w:cs="Arial"/>
          <w:bCs/>
          <w:sz w:val="24"/>
          <w:lang w:eastAsia="en-US"/>
        </w:rPr>
        <w:t xml:space="preserve"> The extent of any damage is still being assessed.</w:t>
      </w:r>
    </w:p>
    <w:p w:rsidR="00E87F7D" w:rsidRDefault="00D0702A" w:rsidP="00B9435B">
      <w:pPr>
        <w:pStyle w:val="ListBullet"/>
        <w:numPr>
          <w:ilvl w:val="0"/>
          <w:numId w:val="2"/>
        </w:numPr>
        <w:spacing w:before="80"/>
        <w:ind w:left="426" w:hanging="426"/>
        <w:rPr>
          <w:rFonts w:ascii="Calibri" w:hAnsi="Calibri" w:cs="Arial"/>
          <w:bCs/>
          <w:sz w:val="24"/>
          <w:lang w:eastAsia="en-US"/>
        </w:rPr>
      </w:pPr>
      <w:r>
        <w:rPr>
          <w:rFonts w:ascii="Calibri" w:hAnsi="Calibri" w:cs="Arial"/>
          <w:bCs/>
          <w:sz w:val="24"/>
          <w:lang w:eastAsia="en-US"/>
        </w:rPr>
        <w:t>T</w:t>
      </w:r>
      <w:r w:rsidR="002C7CDF">
        <w:rPr>
          <w:rFonts w:ascii="Calibri" w:hAnsi="Calibri" w:cs="Arial"/>
          <w:bCs/>
          <w:sz w:val="24"/>
          <w:lang w:eastAsia="en-US"/>
        </w:rPr>
        <w:t>he recent rainfall</w:t>
      </w:r>
      <w:r>
        <w:rPr>
          <w:rFonts w:ascii="Calibri" w:hAnsi="Calibri" w:cs="Arial"/>
          <w:bCs/>
          <w:sz w:val="24"/>
          <w:lang w:eastAsia="en-US"/>
        </w:rPr>
        <w:t xml:space="preserve"> in</w:t>
      </w:r>
      <w:r w:rsidR="002C7CDF">
        <w:rPr>
          <w:rFonts w:ascii="Calibri" w:hAnsi="Calibri" w:cs="Arial"/>
          <w:bCs/>
          <w:sz w:val="24"/>
          <w:lang w:eastAsia="en-US"/>
        </w:rPr>
        <w:t xml:space="preserve"> </w:t>
      </w:r>
      <w:r>
        <w:rPr>
          <w:rFonts w:ascii="Calibri" w:hAnsi="Calibri" w:cs="Arial"/>
          <w:bCs/>
          <w:sz w:val="24"/>
          <w:lang w:eastAsia="en-US"/>
        </w:rPr>
        <w:t xml:space="preserve">south eastern Australia </w:t>
      </w:r>
      <w:r w:rsidR="002C7CDF">
        <w:rPr>
          <w:rFonts w:ascii="Calibri" w:hAnsi="Calibri" w:cs="Arial"/>
          <w:bCs/>
          <w:sz w:val="24"/>
          <w:lang w:eastAsia="en-US"/>
        </w:rPr>
        <w:t xml:space="preserve">has provided </w:t>
      </w:r>
      <w:r w:rsidR="002C7CDF" w:rsidRPr="00D47A44">
        <w:rPr>
          <w:rFonts w:ascii="Calibri" w:hAnsi="Calibri" w:cs="Arial"/>
          <w:bCs/>
          <w:sz w:val="24"/>
          <w:lang w:eastAsia="en-US"/>
        </w:rPr>
        <w:t>timely moisture for</w:t>
      </w:r>
      <w:r w:rsidR="002C7CDF">
        <w:rPr>
          <w:rFonts w:ascii="Calibri" w:hAnsi="Calibri" w:cs="Arial"/>
          <w:bCs/>
          <w:sz w:val="24"/>
          <w:lang w:eastAsia="en-US"/>
        </w:rPr>
        <w:t xml:space="preserve"> the</w:t>
      </w:r>
      <w:r w:rsidR="002C7CDF" w:rsidRPr="00D47A44">
        <w:rPr>
          <w:rFonts w:ascii="Calibri" w:hAnsi="Calibri" w:cs="Arial"/>
          <w:bCs/>
          <w:sz w:val="24"/>
          <w:lang w:eastAsia="en-US"/>
        </w:rPr>
        <w:t xml:space="preserve"> </w:t>
      </w:r>
      <w:r w:rsidR="00A64DCB">
        <w:rPr>
          <w:rFonts w:ascii="Calibri" w:hAnsi="Calibri" w:cs="Arial"/>
          <w:bCs/>
          <w:sz w:val="24"/>
          <w:lang w:eastAsia="en-US"/>
        </w:rPr>
        <w:t>establishment</w:t>
      </w:r>
      <w:r w:rsidR="002C7CDF" w:rsidRPr="00D47A44">
        <w:rPr>
          <w:rFonts w:ascii="Calibri" w:hAnsi="Calibri" w:cs="Arial"/>
          <w:bCs/>
          <w:sz w:val="24"/>
          <w:lang w:eastAsia="en-US"/>
        </w:rPr>
        <w:t xml:space="preserve"> of recently sown </w:t>
      </w:r>
      <w:r w:rsidR="002C7CDF">
        <w:rPr>
          <w:rFonts w:ascii="Calibri" w:hAnsi="Calibri" w:cs="Arial"/>
          <w:bCs/>
          <w:sz w:val="24"/>
          <w:lang w:eastAsia="en-US"/>
        </w:rPr>
        <w:t xml:space="preserve">winter </w:t>
      </w:r>
      <w:r w:rsidR="002C7CDF" w:rsidRPr="00D47A44">
        <w:rPr>
          <w:rFonts w:ascii="Calibri" w:hAnsi="Calibri" w:cs="Arial"/>
          <w:bCs/>
          <w:sz w:val="24"/>
          <w:lang w:eastAsia="en-US"/>
        </w:rPr>
        <w:t>crops</w:t>
      </w:r>
      <w:r w:rsidR="00C224DE">
        <w:rPr>
          <w:rFonts w:ascii="Calibri" w:hAnsi="Calibri" w:cs="Arial"/>
          <w:bCs/>
          <w:sz w:val="24"/>
          <w:lang w:eastAsia="en-US"/>
        </w:rPr>
        <w:t>.</w:t>
      </w:r>
    </w:p>
    <w:p w:rsidR="002C0B45" w:rsidRPr="00C224DE" w:rsidRDefault="00A64DCB" w:rsidP="002C0B45">
      <w:pPr>
        <w:pStyle w:val="ListBullet"/>
        <w:numPr>
          <w:ilvl w:val="0"/>
          <w:numId w:val="2"/>
        </w:numPr>
        <w:spacing w:before="80"/>
        <w:rPr>
          <w:rFonts w:ascii="Calibri" w:hAnsi="Calibri" w:cs="Arial"/>
          <w:sz w:val="24"/>
          <w:szCs w:val="20"/>
          <w:lang w:eastAsia="en-US"/>
        </w:rPr>
      </w:pPr>
      <w:r>
        <w:rPr>
          <w:rFonts w:ascii="Calibri" w:hAnsi="Calibri" w:cs="Arial"/>
          <w:sz w:val="24"/>
          <w:szCs w:val="20"/>
          <w:lang w:eastAsia="en-US"/>
        </w:rPr>
        <w:t>In the coming week u</w:t>
      </w:r>
      <w:r w:rsidR="002C0B45" w:rsidRPr="002C0B45">
        <w:rPr>
          <w:rFonts w:ascii="Calibri" w:hAnsi="Calibri" w:cs="Arial"/>
          <w:sz w:val="24"/>
          <w:szCs w:val="20"/>
          <w:lang w:eastAsia="en-US"/>
        </w:rPr>
        <w:t xml:space="preserve">p to 25 mm of rain is forecast for cropping </w:t>
      </w:r>
      <w:r>
        <w:rPr>
          <w:rFonts w:ascii="Calibri" w:hAnsi="Calibri" w:cs="Arial"/>
          <w:sz w:val="24"/>
          <w:szCs w:val="20"/>
          <w:lang w:eastAsia="en-US"/>
        </w:rPr>
        <w:t>areas of Western Australia, an area that has missed much of the recent rainfall.</w:t>
      </w:r>
    </w:p>
    <w:p w:rsidR="009B744E" w:rsidRPr="000D5E7A" w:rsidRDefault="00D47A44" w:rsidP="000D5E7A">
      <w:pPr>
        <w:pStyle w:val="ListBullet"/>
        <w:numPr>
          <w:ilvl w:val="0"/>
          <w:numId w:val="2"/>
        </w:numPr>
        <w:spacing w:before="80"/>
        <w:rPr>
          <w:rFonts w:ascii="Calibri" w:hAnsi="Calibri" w:cs="Arial"/>
          <w:sz w:val="24"/>
          <w:szCs w:val="20"/>
          <w:lang w:eastAsia="en-US"/>
        </w:rPr>
      </w:pPr>
      <w:r w:rsidRPr="00C224DE">
        <w:rPr>
          <w:rFonts w:ascii="Calibri" w:hAnsi="Calibri" w:cs="Arial"/>
          <w:bCs/>
          <w:sz w:val="24"/>
          <w:lang w:eastAsia="en-US"/>
        </w:rPr>
        <w:t xml:space="preserve">Autumn rainfall was generally </w:t>
      </w:r>
      <w:r w:rsidR="003F39B8" w:rsidRPr="00C224DE">
        <w:rPr>
          <w:rFonts w:ascii="Calibri" w:hAnsi="Calibri" w:cs="Arial"/>
          <w:bCs/>
          <w:sz w:val="24"/>
          <w:lang w:eastAsia="en-US"/>
        </w:rPr>
        <w:t>below</w:t>
      </w:r>
      <w:r w:rsidRPr="00C224DE">
        <w:rPr>
          <w:rFonts w:ascii="Calibri" w:hAnsi="Calibri" w:cs="Arial"/>
          <w:bCs/>
          <w:sz w:val="24"/>
          <w:lang w:eastAsia="en-US"/>
        </w:rPr>
        <w:t xml:space="preserve"> </w:t>
      </w:r>
      <w:r w:rsidR="003F39B8" w:rsidRPr="00C224DE">
        <w:rPr>
          <w:rFonts w:ascii="Calibri" w:hAnsi="Calibri" w:cs="Arial"/>
          <w:bCs/>
          <w:sz w:val="24"/>
          <w:lang w:eastAsia="en-US"/>
        </w:rPr>
        <w:t>average</w:t>
      </w:r>
      <w:r w:rsidRPr="00C224DE">
        <w:rPr>
          <w:rFonts w:ascii="Calibri" w:hAnsi="Calibri" w:cs="Arial"/>
          <w:bCs/>
          <w:sz w:val="24"/>
          <w:lang w:eastAsia="en-US"/>
        </w:rPr>
        <w:t xml:space="preserve"> across central and </w:t>
      </w:r>
      <w:proofErr w:type="gramStart"/>
      <w:r w:rsidRPr="00C224DE">
        <w:rPr>
          <w:rFonts w:ascii="Calibri" w:hAnsi="Calibri" w:cs="Arial"/>
          <w:bCs/>
          <w:sz w:val="24"/>
          <w:lang w:eastAsia="en-US"/>
        </w:rPr>
        <w:t>western</w:t>
      </w:r>
      <w:proofErr w:type="gramEnd"/>
      <w:r w:rsidRPr="00C224DE">
        <w:rPr>
          <w:rFonts w:ascii="Calibri" w:hAnsi="Calibri" w:cs="Arial"/>
          <w:bCs/>
          <w:sz w:val="24"/>
          <w:lang w:eastAsia="en-US"/>
        </w:rPr>
        <w:t xml:space="preserve"> Australia. </w:t>
      </w:r>
      <w:r w:rsidR="003F39B8" w:rsidRPr="00C224DE">
        <w:rPr>
          <w:rFonts w:ascii="Calibri" w:hAnsi="Calibri" w:cs="Arial"/>
          <w:bCs/>
          <w:sz w:val="24"/>
          <w:lang w:eastAsia="en-US"/>
        </w:rPr>
        <w:t>This has</w:t>
      </w:r>
      <w:r w:rsidRPr="00C224DE">
        <w:rPr>
          <w:rFonts w:ascii="Calibri" w:hAnsi="Calibri" w:cs="Arial"/>
          <w:bCs/>
          <w:sz w:val="24"/>
          <w:lang w:eastAsia="en-US"/>
        </w:rPr>
        <w:t xml:space="preserve"> </w:t>
      </w:r>
      <w:r w:rsidR="002C7CDF" w:rsidRPr="00C224DE">
        <w:rPr>
          <w:rFonts w:ascii="Calibri" w:hAnsi="Calibri" w:cs="Arial"/>
          <w:bCs/>
          <w:sz w:val="24"/>
          <w:lang w:eastAsia="en-US"/>
        </w:rPr>
        <w:t xml:space="preserve">exacerbated </w:t>
      </w:r>
      <w:r w:rsidRPr="00C224DE">
        <w:rPr>
          <w:rFonts w:ascii="Calibri" w:hAnsi="Calibri" w:cs="Arial"/>
          <w:bCs/>
          <w:sz w:val="24"/>
          <w:lang w:eastAsia="en-US"/>
        </w:rPr>
        <w:t>existing</w:t>
      </w:r>
      <w:r w:rsidRPr="00D47A44">
        <w:rPr>
          <w:rFonts w:ascii="Calibri" w:hAnsi="Calibri" w:cs="Arial"/>
          <w:bCs/>
          <w:sz w:val="24"/>
          <w:lang w:eastAsia="en-US"/>
        </w:rPr>
        <w:t xml:space="preserve"> </w:t>
      </w:r>
      <w:r w:rsidR="003F39B8">
        <w:rPr>
          <w:rFonts w:ascii="Calibri" w:hAnsi="Calibri" w:cs="Arial"/>
          <w:bCs/>
          <w:sz w:val="24"/>
          <w:lang w:eastAsia="en-US"/>
        </w:rPr>
        <w:t>upper and lower soil moisture</w:t>
      </w:r>
      <w:r w:rsidRPr="00D47A44">
        <w:rPr>
          <w:rFonts w:ascii="Calibri" w:hAnsi="Calibri" w:cs="Arial"/>
          <w:bCs/>
          <w:sz w:val="24"/>
          <w:lang w:eastAsia="en-US"/>
        </w:rPr>
        <w:t xml:space="preserve"> deficiencies </w:t>
      </w:r>
      <w:r w:rsidR="003F39B8">
        <w:rPr>
          <w:rFonts w:ascii="Calibri" w:hAnsi="Calibri" w:cs="Arial"/>
          <w:bCs/>
          <w:sz w:val="24"/>
          <w:lang w:eastAsia="en-US"/>
        </w:rPr>
        <w:t>across</w:t>
      </w:r>
      <w:r w:rsidRPr="00D47A44">
        <w:rPr>
          <w:rFonts w:ascii="Calibri" w:hAnsi="Calibri" w:cs="Arial"/>
          <w:bCs/>
          <w:sz w:val="24"/>
          <w:lang w:eastAsia="en-US"/>
        </w:rPr>
        <w:t xml:space="preserve"> </w:t>
      </w:r>
      <w:r w:rsidR="003F39B8">
        <w:rPr>
          <w:rFonts w:ascii="Calibri" w:hAnsi="Calibri" w:cs="Arial"/>
          <w:bCs/>
          <w:sz w:val="24"/>
          <w:lang w:eastAsia="en-US"/>
        </w:rPr>
        <w:t xml:space="preserve">Western </w:t>
      </w:r>
      <w:r w:rsidR="003F39B8" w:rsidRPr="000D5E7A">
        <w:rPr>
          <w:rFonts w:ascii="Calibri" w:hAnsi="Calibri" w:cs="Arial"/>
          <w:sz w:val="24"/>
          <w:szCs w:val="20"/>
          <w:lang w:eastAsia="en-US"/>
        </w:rPr>
        <w:t>Australia’s cropping zone.</w:t>
      </w:r>
      <w:r w:rsidR="00A64DCB">
        <w:rPr>
          <w:rFonts w:ascii="Calibri" w:hAnsi="Calibri" w:cs="Arial"/>
          <w:sz w:val="24"/>
          <w:szCs w:val="20"/>
          <w:lang w:eastAsia="en-US"/>
        </w:rPr>
        <w:t xml:space="preserve"> U</w:t>
      </w:r>
      <w:r w:rsidR="003F39B8" w:rsidRPr="000D5E7A">
        <w:rPr>
          <w:rFonts w:ascii="Calibri" w:hAnsi="Calibri" w:cs="Arial"/>
          <w:sz w:val="24"/>
          <w:szCs w:val="20"/>
          <w:lang w:eastAsia="en-US"/>
        </w:rPr>
        <w:t xml:space="preserve">pper </w:t>
      </w:r>
      <w:r w:rsidR="00A64DCB">
        <w:rPr>
          <w:rFonts w:ascii="Calibri" w:hAnsi="Calibri" w:cs="Arial"/>
          <w:sz w:val="24"/>
          <w:szCs w:val="20"/>
          <w:lang w:eastAsia="en-US"/>
        </w:rPr>
        <w:t xml:space="preserve">layer </w:t>
      </w:r>
      <w:r w:rsidR="003F39B8" w:rsidRPr="000D5E7A">
        <w:rPr>
          <w:rFonts w:ascii="Calibri" w:hAnsi="Calibri" w:cs="Arial"/>
          <w:sz w:val="24"/>
          <w:szCs w:val="20"/>
          <w:lang w:eastAsia="en-US"/>
        </w:rPr>
        <w:t>soil moisture deficiencies remain across south eastern Australia’s croppin</w:t>
      </w:r>
      <w:r w:rsidR="00C224DE">
        <w:rPr>
          <w:rFonts w:ascii="Calibri" w:hAnsi="Calibri" w:cs="Arial"/>
          <w:sz w:val="24"/>
          <w:szCs w:val="20"/>
          <w:lang w:eastAsia="en-US"/>
        </w:rPr>
        <w:t xml:space="preserve">g </w:t>
      </w:r>
      <w:r w:rsidR="00A64DCB">
        <w:rPr>
          <w:rFonts w:ascii="Calibri" w:hAnsi="Calibri" w:cs="Arial"/>
          <w:sz w:val="24"/>
          <w:szCs w:val="20"/>
          <w:lang w:eastAsia="en-US"/>
        </w:rPr>
        <w:t>areas</w:t>
      </w:r>
      <w:r w:rsidR="00C224DE">
        <w:rPr>
          <w:rFonts w:ascii="Calibri" w:hAnsi="Calibri" w:cs="Arial"/>
          <w:sz w:val="24"/>
          <w:szCs w:val="20"/>
          <w:lang w:eastAsia="en-US"/>
        </w:rPr>
        <w:t xml:space="preserve"> despite recent rainfall.</w:t>
      </w:r>
    </w:p>
    <w:p w:rsidR="000D5E7A" w:rsidRPr="000D5E7A" w:rsidRDefault="000D5E7A" w:rsidP="000D5E7A">
      <w:pPr>
        <w:pStyle w:val="Default"/>
        <w:numPr>
          <w:ilvl w:val="0"/>
          <w:numId w:val="2"/>
        </w:numPr>
        <w:spacing w:before="80"/>
        <w:rPr>
          <w:rFonts w:ascii="Calibri" w:hAnsi="Calibri" w:cs="Calibri"/>
        </w:rPr>
      </w:pPr>
      <w:r w:rsidRPr="000D5E7A">
        <w:rPr>
          <w:rFonts w:ascii="Calibri" w:hAnsi="Calibri" w:cs="Arial"/>
          <w:szCs w:val="20"/>
          <w:lang w:eastAsia="en-US"/>
        </w:rPr>
        <w:t xml:space="preserve">Water storage levels in the Murray–Darling Basin </w:t>
      </w:r>
      <w:r>
        <w:rPr>
          <w:rFonts w:ascii="Calibri" w:hAnsi="Calibri" w:cs="Arial"/>
          <w:szCs w:val="20"/>
          <w:lang w:eastAsia="en-US"/>
        </w:rPr>
        <w:t>remained</w:t>
      </w:r>
      <w:r w:rsidRPr="000D5E7A">
        <w:rPr>
          <w:rFonts w:ascii="Calibri" w:hAnsi="Calibri" w:cs="Arial"/>
          <w:szCs w:val="20"/>
          <w:lang w:eastAsia="en-US"/>
        </w:rPr>
        <w:t xml:space="preserve"> at 90 per cent of total capacity.</w:t>
      </w:r>
      <w:r>
        <w:rPr>
          <w:rFonts w:ascii="Calibri" w:hAnsi="Calibri" w:cs="Arial"/>
          <w:szCs w:val="20"/>
          <w:lang w:eastAsia="en-US"/>
        </w:rPr>
        <w:t xml:space="preserve"> </w:t>
      </w:r>
      <w:r w:rsidRPr="000D5E7A">
        <w:rPr>
          <w:rFonts w:ascii="Calibri" w:hAnsi="Calibri" w:cs="Calibri"/>
        </w:rPr>
        <w:t>This is around 60 percentage points hig</w:t>
      </w:r>
      <w:r w:rsidR="00C224DE">
        <w:rPr>
          <w:rFonts w:ascii="Calibri" w:hAnsi="Calibri" w:cs="Calibri"/>
        </w:rPr>
        <w:t>her than the same time in 2010.</w:t>
      </w:r>
    </w:p>
    <w:p w:rsidR="00567DE6" w:rsidRPr="000D5E7A" w:rsidRDefault="00567DE6" w:rsidP="000D5E7A">
      <w:pPr>
        <w:pStyle w:val="ListBullet"/>
        <w:numPr>
          <w:ilvl w:val="0"/>
          <w:numId w:val="2"/>
        </w:numPr>
        <w:spacing w:before="80"/>
        <w:rPr>
          <w:rFonts w:ascii="Calibri" w:hAnsi="Calibri" w:cs="Arial"/>
          <w:bCs/>
          <w:sz w:val="24"/>
          <w:lang w:eastAsia="en-US"/>
        </w:rPr>
      </w:pPr>
      <w:r w:rsidRPr="000D5E7A">
        <w:rPr>
          <w:rFonts w:ascii="Calibri" w:hAnsi="Calibri" w:cs="Arial"/>
          <w:sz w:val="24"/>
          <w:lang w:eastAsia="en-US"/>
        </w:rPr>
        <w:t xml:space="preserve">Wholesale </w:t>
      </w:r>
      <w:r w:rsidRPr="000D5E7A">
        <w:rPr>
          <w:rFonts w:ascii="Calibri" w:hAnsi="Calibri" w:cs="Arial"/>
          <w:bCs/>
          <w:sz w:val="24"/>
          <w:lang w:eastAsia="en-US"/>
        </w:rPr>
        <w:t>prices for vegetables were generally higher in the week ending 2 June 2012 compared with the previous week, but fruit prices were lower on average.</w:t>
      </w:r>
    </w:p>
    <w:p w:rsidR="00F72BDA" w:rsidRPr="00F72BDA" w:rsidRDefault="00F72BDA" w:rsidP="00F72BDA">
      <w:pPr>
        <w:pStyle w:val="ListParagraph"/>
        <w:numPr>
          <w:ilvl w:val="0"/>
          <w:numId w:val="2"/>
        </w:numPr>
        <w:spacing w:before="120" w:after="120" w:line="240" w:lineRule="auto"/>
        <w:contextualSpacing w:val="0"/>
        <w:rPr>
          <w:rFonts w:cs="Calibri"/>
          <w:sz w:val="24"/>
          <w:szCs w:val="20"/>
        </w:rPr>
      </w:pPr>
      <w:r w:rsidRPr="000D5E7A">
        <w:rPr>
          <w:rFonts w:cs="Calibri"/>
          <w:sz w:val="24"/>
          <w:szCs w:val="24"/>
        </w:rPr>
        <w:t xml:space="preserve">The world cotton indicator price (the </w:t>
      </w:r>
      <w:proofErr w:type="spellStart"/>
      <w:r w:rsidRPr="000D5E7A">
        <w:rPr>
          <w:rFonts w:cs="Calibri"/>
          <w:sz w:val="24"/>
          <w:szCs w:val="24"/>
        </w:rPr>
        <w:t>Cotlook</w:t>
      </w:r>
      <w:proofErr w:type="spellEnd"/>
      <w:r w:rsidRPr="000D5E7A">
        <w:rPr>
          <w:rFonts w:cs="Calibri"/>
          <w:sz w:val="24"/>
          <w:szCs w:val="24"/>
        </w:rPr>
        <w:t xml:space="preserve"> ‘</w:t>
      </w:r>
      <w:proofErr w:type="gramStart"/>
      <w:r w:rsidRPr="000D5E7A">
        <w:rPr>
          <w:rFonts w:cs="Calibri"/>
          <w:sz w:val="24"/>
          <w:szCs w:val="24"/>
        </w:rPr>
        <w:t>A</w:t>
      </w:r>
      <w:proofErr w:type="gramEnd"/>
      <w:r w:rsidRPr="000D5E7A">
        <w:rPr>
          <w:rFonts w:cs="Calibri"/>
          <w:sz w:val="24"/>
          <w:szCs w:val="24"/>
        </w:rPr>
        <w:t>’ index) averaged</w:t>
      </w:r>
      <w:r w:rsidRPr="00F72BDA">
        <w:rPr>
          <w:rFonts w:cs="Calibri"/>
          <w:sz w:val="24"/>
          <w:szCs w:val="20"/>
        </w:rPr>
        <w:t xml:space="preserve"> US80.3 cents a pound in the week ending 6 June 2012, the lowest since </w:t>
      </w:r>
      <w:r>
        <w:rPr>
          <w:rFonts w:cs="Calibri"/>
          <w:sz w:val="24"/>
          <w:szCs w:val="20"/>
        </w:rPr>
        <w:t>the week ending</w:t>
      </w:r>
      <w:r w:rsidR="00D0702A">
        <w:rPr>
          <w:rFonts w:cs="Calibri"/>
          <w:sz w:val="24"/>
          <w:szCs w:val="20"/>
        </w:rPr>
        <w:t xml:space="preserve"> </w:t>
      </w:r>
      <w:r>
        <w:rPr>
          <w:rFonts w:cs="Calibri"/>
          <w:sz w:val="24"/>
          <w:szCs w:val="20"/>
        </w:rPr>
        <w:t>10 February 2010.</w:t>
      </w:r>
    </w:p>
    <w:p w:rsidR="00F72BDA" w:rsidRPr="00F72BDA" w:rsidRDefault="00F72BDA" w:rsidP="00F72BDA">
      <w:pPr>
        <w:pStyle w:val="ListParagraph"/>
        <w:numPr>
          <w:ilvl w:val="0"/>
          <w:numId w:val="2"/>
        </w:numPr>
        <w:spacing w:before="120" w:after="120" w:line="240" w:lineRule="auto"/>
        <w:contextualSpacing w:val="0"/>
        <w:rPr>
          <w:rFonts w:cs="Calibri"/>
          <w:sz w:val="24"/>
          <w:szCs w:val="20"/>
        </w:rPr>
      </w:pPr>
      <w:r w:rsidRPr="00F72BDA">
        <w:rPr>
          <w:rFonts w:cs="Calibri"/>
          <w:sz w:val="24"/>
          <w:szCs w:val="20"/>
        </w:rPr>
        <w:t>The world indicator price of wheat (US no. 2 hard red winter, free on board Gulf ports) averaged US$279 a tonne in the week ending 29 May 2012, compared with US$29</w:t>
      </w:r>
      <w:r w:rsidR="00C224DE">
        <w:rPr>
          <w:rFonts w:cs="Calibri"/>
          <w:sz w:val="24"/>
          <w:szCs w:val="20"/>
        </w:rPr>
        <w:t>4 a tonne in the previous week.</w:t>
      </w:r>
    </w:p>
    <w:p w:rsidR="00F72BDA" w:rsidRPr="00F72BDA" w:rsidRDefault="00F72BDA" w:rsidP="00F72BDA">
      <w:pPr>
        <w:pStyle w:val="ListParagraph"/>
        <w:numPr>
          <w:ilvl w:val="0"/>
          <w:numId w:val="2"/>
        </w:numPr>
        <w:spacing w:before="120" w:after="120" w:line="240" w:lineRule="auto"/>
        <w:contextualSpacing w:val="0"/>
        <w:rPr>
          <w:rFonts w:cs="Calibri"/>
          <w:sz w:val="24"/>
          <w:szCs w:val="20"/>
        </w:rPr>
      </w:pPr>
      <w:r w:rsidRPr="00F72BDA">
        <w:rPr>
          <w:rFonts w:cs="Calibri"/>
          <w:sz w:val="24"/>
          <w:szCs w:val="20"/>
        </w:rPr>
        <w:t xml:space="preserve">The Queensland young cattle indicator price (330–400 kg live weight C3) rose 11 cents in the week ending 1 June 2012 to 372 cents a kilogram. Young cattle prices also rose in New South Wales, </w:t>
      </w:r>
      <w:r w:rsidR="00C224DE">
        <w:rPr>
          <w:rFonts w:cs="Calibri"/>
          <w:sz w:val="24"/>
          <w:szCs w:val="20"/>
        </w:rPr>
        <w:t>Victoria and Western Australia.</w:t>
      </w:r>
    </w:p>
    <w:p w:rsidR="001E66CE" w:rsidRPr="001E66CE" w:rsidRDefault="001E66CE" w:rsidP="001E66CE">
      <w:pPr>
        <w:pStyle w:val="ListBullet"/>
        <w:numPr>
          <w:ilvl w:val="0"/>
          <w:numId w:val="2"/>
        </w:numPr>
        <w:spacing w:before="80"/>
        <w:ind w:left="426" w:hanging="426"/>
        <w:rPr>
          <w:rFonts w:ascii="Calibri" w:hAnsi="Calibri" w:cs="Arial"/>
          <w:bCs/>
          <w:sz w:val="24"/>
          <w:lang w:eastAsia="en-US"/>
        </w:rPr>
      </w:pPr>
      <w:r w:rsidRPr="001E66CE">
        <w:rPr>
          <w:rFonts w:ascii="Calibri" w:hAnsi="Calibri" w:cs="Arial"/>
          <w:bCs/>
          <w:sz w:val="24"/>
          <w:lang w:eastAsia="en-US"/>
        </w:rPr>
        <w:t xml:space="preserve">Saleyard prices of lamb declined in most states in the week ending 1 June 2012. The indicator price for lamb (18-22 kg fat score 2-4) fell 4 per </w:t>
      </w:r>
      <w:r w:rsidR="00F72BDA">
        <w:rPr>
          <w:rFonts w:ascii="Calibri" w:hAnsi="Calibri" w:cs="Arial"/>
          <w:bCs/>
          <w:sz w:val="24"/>
          <w:lang w:eastAsia="en-US"/>
        </w:rPr>
        <w:t xml:space="preserve">cent </w:t>
      </w:r>
      <w:r w:rsidRPr="001E66CE">
        <w:rPr>
          <w:rFonts w:ascii="Calibri" w:hAnsi="Calibri" w:cs="Arial"/>
          <w:bCs/>
          <w:sz w:val="24"/>
          <w:lang w:eastAsia="en-US"/>
        </w:rPr>
        <w:t>in Victoria and South Australia</w:t>
      </w:r>
      <w:r>
        <w:rPr>
          <w:rFonts w:ascii="Calibri" w:hAnsi="Calibri" w:cs="Arial"/>
          <w:bCs/>
          <w:sz w:val="24"/>
          <w:lang w:eastAsia="en-US"/>
        </w:rPr>
        <w:t>, but only 1 per cent i</w:t>
      </w:r>
      <w:r w:rsidRPr="001E66CE">
        <w:rPr>
          <w:rFonts w:ascii="Calibri" w:hAnsi="Calibri" w:cs="Arial"/>
          <w:bCs/>
          <w:sz w:val="24"/>
          <w:lang w:eastAsia="en-US"/>
        </w:rPr>
        <w:t>n New South Wales</w:t>
      </w:r>
      <w:r>
        <w:rPr>
          <w:rFonts w:ascii="Calibri" w:hAnsi="Calibri" w:cs="Arial"/>
          <w:bCs/>
          <w:sz w:val="24"/>
          <w:lang w:eastAsia="en-US"/>
        </w:rPr>
        <w:t>.</w:t>
      </w:r>
      <w:r w:rsidRPr="001E66CE">
        <w:rPr>
          <w:rFonts w:ascii="Calibri" w:hAnsi="Calibri" w:cs="Arial"/>
          <w:bCs/>
          <w:sz w:val="24"/>
          <w:lang w:eastAsia="en-US"/>
        </w:rPr>
        <w:t xml:space="preserve"> </w:t>
      </w:r>
      <w:r>
        <w:rPr>
          <w:rFonts w:ascii="Calibri" w:hAnsi="Calibri" w:cs="Arial"/>
          <w:bCs/>
          <w:sz w:val="24"/>
          <w:lang w:eastAsia="en-US"/>
        </w:rPr>
        <w:t>T</w:t>
      </w:r>
      <w:r w:rsidRPr="001E66CE">
        <w:rPr>
          <w:rFonts w:ascii="Calibri" w:hAnsi="Calibri" w:cs="Arial"/>
          <w:bCs/>
          <w:sz w:val="24"/>
          <w:lang w:eastAsia="en-US"/>
        </w:rPr>
        <w:t>he indicator price rose</w:t>
      </w:r>
      <w:r>
        <w:rPr>
          <w:rFonts w:ascii="Calibri" w:hAnsi="Calibri" w:cs="Arial"/>
          <w:bCs/>
          <w:sz w:val="24"/>
          <w:lang w:eastAsia="en-US"/>
        </w:rPr>
        <w:t xml:space="preserve"> by 3 per cent</w:t>
      </w:r>
      <w:r w:rsidR="00F72BDA">
        <w:rPr>
          <w:rFonts w:ascii="Calibri" w:hAnsi="Calibri" w:cs="Arial"/>
          <w:bCs/>
          <w:sz w:val="24"/>
          <w:lang w:eastAsia="en-US"/>
        </w:rPr>
        <w:t xml:space="preserve"> in Western Australian</w:t>
      </w:r>
      <w:r w:rsidRPr="001E66CE">
        <w:rPr>
          <w:rFonts w:ascii="Calibri" w:hAnsi="Calibri" w:cs="Arial"/>
          <w:bCs/>
          <w:sz w:val="24"/>
          <w:lang w:eastAsia="en-US"/>
        </w:rPr>
        <w:t>.</w:t>
      </w:r>
    </w:p>
    <w:p w:rsidR="003C5ACC" w:rsidRPr="00A64DCB" w:rsidRDefault="00B91946" w:rsidP="007856A8">
      <w:pPr>
        <w:pStyle w:val="Heading2"/>
        <w:numPr>
          <w:ilvl w:val="0"/>
          <w:numId w:val="4"/>
        </w:numPr>
        <w:spacing w:before="0" w:after="0" w:line="276" w:lineRule="auto"/>
        <w:jc w:val="center"/>
        <w:rPr>
          <w:rFonts w:cs="Arial"/>
          <w:b/>
          <w:color w:val="auto"/>
          <w:szCs w:val="34"/>
        </w:rPr>
      </w:pPr>
      <w:r w:rsidRPr="00A64DCB">
        <w:rPr>
          <w:rFonts w:cs="Arial"/>
          <w:b/>
          <w:color w:val="auto"/>
          <w:szCs w:val="34"/>
        </w:rPr>
        <w:lastRenderedPageBreak/>
        <w:t>Climate</w:t>
      </w:r>
    </w:p>
    <w:p w:rsidR="003C5ACC" w:rsidRPr="00A64DCB" w:rsidRDefault="00B91946" w:rsidP="002F3C41">
      <w:pPr>
        <w:pStyle w:val="Heading3"/>
        <w:numPr>
          <w:ilvl w:val="1"/>
          <w:numId w:val="4"/>
        </w:numPr>
        <w:spacing w:line="276" w:lineRule="auto"/>
        <w:ind w:left="709" w:hanging="709"/>
        <w:rPr>
          <w:rFonts w:cs="Arial"/>
          <w:color w:val="auto"/>
          <w:sz w:val="28"/>
          <w:szCs w:val="28"/>
        </w:rPr>
      </w:pPr>
      <w:r w:rsidRPr="00A64DCB">
        <w:rPr>
          <w:rFonts w:cs="Arial"/>
          <w:color w:val="auto"/>
          <w:sz w:val="28"/>
          <w:szCs w:val="28"/>
        </w:rPr>
        <w:t>Notable events</w:t>
      </w:r>
    </w:p>
    <w:p w:rsidR="00CD2341" w:rsidRPr="00A64DCB" w:rsidRDefault="00317564" w:rsidP="00CD2341">
      <w:pPr>
        <w:pStyle w:val="ListBullet"/>
        <w:numPr>
          <w:ilvl w:val="0"/>
          <w:numId w:val="43"/>
        </w:numPr>
        <w:spacing w:before="80"/>
        <w:rPr>
          <w:rFonts w:ascii="Calibri" w:hAnsi="Calibri" w:cs="Arial"/>
          <w:szCs w:val="20"/>
          <w:lang w:eastAsia="en-US"/>
        </w:rPr>
      </w:pPr>
      <w:r w:rsidRPr="00A64DCB">
        <w:rPr>
          <w:rFonts w:ascii="Calibri" w:hAnsi="Calibri" w:cs="Arial"/>
          <w:szCs w:val="20"/>
          <w:lang w:eastAsia="en-US"/>
        </w:rPr>
        <w:t xml:space="preserve">For the week ending </w:t>
      </w:r>
      <w:r w:rsidR="00940161" w:rsidRPr="00A64DCB">
        <w:rPr>
          <w:rFonts w:ascii="Calibri" w:hAnsi="Calibri" w:cs="Arial"/>
          <w:szCs w:val="20"/>
          <w:lang w:eastAsia="en-US"/>
        </w:rPr>
        <w:t>6 June,</w:t>
      </w:r>
      <w:r w:rsidRPr="00A64DCB">
        <w:rPr>
          <w:rFonts w:ascii="Calibri" w:hAnsi="Calibri" w:cs="Arial"/>
          <w:szCs w:val="20"/>
          <w:lang w:eastAsia="en-US"/>
        </w:rPr>
        <w:t xml:space="preserve"> the</w:t>
      </w:r>
      <w:r w:rsidR="00FD5F35" w:rsidRPr="00A64DCB">
        <w:rPr>
          <w:rFonts w:ascii="Calibri" w:hAnsi="Calibri" w:cs="Arial"/>
          <w:szCs w:val="20"/>
          <w:lang w:eastAsia="en-US"/>
        </w:rPr>
        <w:t>re was widespread rainfall a</w:t>
      </w:r>
      <w:r w:rsidR="009430CB" w:rsidRPr="00A64DCB">
        <w:rPr>
          <w:rFonts w:ascii="Calibri" w:hAnsi="Calibri" w:cs="Arial"/>
          <w:szCs w:val="20"/>
          <w:lang w:eastAsia="en-US"/>
        </w:rPr>
        <w:t>cross eastern Australia. Hea</w:t>
      </w:r>
      <w:r w:rsidR="00E228FD" w:rsidRPr="00A64DCB">
        <w:rPr>
          <w:rFonts w:ascii="Calibri" w:hAnsi="Calibri" w:cs="Arial"/>
          <w:szCs w:val="20"/>
          <w:lang w:eastAsia="en-US"/>
        </w:rPr>
        <w:t xml:space="preserve">vy falls in </w:t>
      </w:r>
      <w:r w:rsidR="0002119F" w:rsidRPr="00A64DCB">
        <w:rPr>
          <w:rFonts w:ascii="Calibri" w:hAnsi="Calibri" w:cs="Arial"/>
          <w:szCs w:val="20"/>
          <w:lang w:eastAsia="en-US"/>
        </w:rPr>
        <w:t>s</w:t>
      </w:r>
      <w:r w:rsidR="00FD5F35" w:rsidRPr="00A64DCB">
        <w:rPr>
          <w:rFonts w:ascii="Calibri" w:hAnsi="Calibri" w:cs="Arial"/>
          <w:szCs w:val="20"/>
          <w:lang w:eastAsia="en-US"/>
        </w:rPr>
        <w:t xml:space="preserve">outh eastern Victoria </w:t>
      </w:r>
      <w:r w:rsidR="00940161" w:rsidRPr="00A64DCB">
        <w:rPr>
          <w:rFonts w:ascii="Calibri" w:hAnsi="Calibri" w:cs="Arial"/>
          <w:szCs w:val="20"/>
          <w:lang w:eastAsia="en-US"/>
        </w:rPr>
        <w:t xml:space="preserve">has reportedly led to </w:t>
      </w:r>
      <w:r w:rsidR="00FD5F35" w:rsidRPr="00A64DCB">
        <w:rPr>
          <w:rFonts w:ascii="Calibri" w:hAnsi="Calibri" w:cs="Arial"/>
          <w:szCs w:val="20"/>
          <w:lang w:eastAsia="en-US"/>
        </w:rPr>
        <w:t>flooding</w:t>
      </w:r>
      <w:r w:rsidR="00940161" w:rsidRPr="00A64DCB">
        <w:rPr>
          <w:rFonts w:ascii="Calibri" w:hAnsi="Calibri" w:cs="Arial"/>
          <w:szCs w:val="20"/>
          <w:lang w:eastAsia="en-US"/>
        </w:rPr>
        <w:t xml:space="preserve"> of dairy and vegetable farms</w:t>
      </w:r>
      <w:r w:rsidR="00FD5F35" w:rsidRPr="00A64DCB">
        <w:rPr>
          <w:rFonts w:ascii="Calibri" w:hAnsi="Calibri" w:cs="Arial"/>
          <w:szCs w:val="20"/>
          <w:lang w:eastAsia="en-US"/>
        </w:rPr>
        <w:t>.</w:t>
      </w:r>
    </w:p>
    <w:p w:rsidR="009430CB" w:rsidRPr="00A64DCB" w:rsidRDefault="009430CB" w:rsidP="009430CB">
      <w:pPr>
        <w:pStyle w:val="ListBullet"/>
        <w:numPr>
          <w:ilvl w:val="0"/>
          <w:numId w:val="43"/>
        </w:numPr>
        <w:spacing w:before="80"/>
        <w:rPr>
          <w:rFonts w:ascii="Calibri" w:hAnsi="Calibri" w:cs="Arial"/>
          <w:szCs w:val="20"/>
          <w:lang w:eastAsia="en-US"/>
        </w:rPr>
      </w:pPr>
      <w:r w:rsidRPr="00A64DCB">
        <w:rPr>
          <w:rFonts w:ascii="Calibri" w:hAnsi="Calibri" w:cs="Arial"/>
          <w:szCs w:val="20"/>
          <w:lang w:eastAsia="en-US"/>
        </w:rPr>
        <w:t>The highest measured rainfall total for the week was 284 millimetres (mm) at Haines Junction, approximately 80 km south west of Geelong, Victoria.</w:t>
      </w:r>
    </w:p>
    <w:p w:rsidR="002C7CDF" w:rsidRPr="00A64DCB" w:rsidRDefault="00A64DCB" w:rsidP="009430CB">
      <w:pPr>
        <w:pStyle w:val="ListBullet"/>
        <w:numPr>
          <w:ilvl w:val="0"/>
          <w:numId w:val="43"/>
        </w:numPr>
        <w:spacing w:before="80"/>
        <w:rPr>
          <w:rFonts w:ascii="Calibri" w:hAnsi="Calibri" w:cs="Arial"/>
          <w:szCs w:val="20"/>
          <w:lang w:eastAsia="en-US"/>
        </w:rPr>
      </w:pPr>
      <w:r>
        <w:rPr>
          <w:rFonts w:ascii="Calibri" w:hAnsi="Calibri" w:cs="Arial"/>
          <w:szCs w:val="20"/>
          <w:lang w:eastAsia="en-US"/>
        </w:rPr>
        <w:t>In the coming week u</w:t>
      </w:r>
      <w:r w:rsidR="002C0B45" w:rsidRPr="00A64DCB">
        <w:rPr>
          <w:rFonts w:ascii="Calibri" w:hAnsi="Calibri" w:cs="Arial"/>
          <w:szCs w:val="20"/>
          <w:lang w:eastAsia="en-US"/>
        </w:rPr>
        <w:t xml:space="preserve">p to 25 mm of rain is forecast for cropping </w:t>
      </w:r>
      <w:r>
        <w:rPr>
          <w:rFonts w:ascii="Calibri" w:hAnsi="Calibri" w:cs="Arial"/>
          <w:szCs w:val="20"/>
          <w:lang w:eastAsia="en-US"/>
        </w:rPr>
        <w:t>areas</w:t>
      </w:r>
      <w:r w:rsidR="002C0B45" w:rsidRPr="00A64DCB">
        <w:rPr>
          <w:rFonts w:ascii="Calibri" w:hAnsi="Calibri" w:cs="Arial"/>
          <w:szCs w:val="20"/>
          <w:lang w:eastAsia="en-US"/>
        </w:rPr>
        <w:t xml:space="preserve"> of Western Australia</w:t>
      </w:r>
      <w:r>
        <w:rPr>
          <w:rFonts w:ascii="Calibri" w:hAnsi="Calibri" w:cs="Arial"/>
          <w:szCs w:val="20"/>
          <w:lang w:eastAsia="en-US"/>
        </w:rPr>
        <w:t>.</w:t>
      </w:r>
      <w:r w:rsidR="002C0B45" w:rsidRPr="00A64DCB">
        <w:rPr>
          <w:rFonts w:ascii="Calibri" w:hAnsi="Calibri" w:cs="Arial"/>
          <w:szCs w:val="20"/>
          <w:lang w:eastAsia="en-US"/>
        </w:rPr>
        <w:t xml:space="preserve"> Th</w:t>
      </w:r>
      <w:r>
        <w:rPr>
          <w:rFonts w:ascii="Calibri" w:hAnsi="Calibri" w:cs="Arial"/>
          <w:szCs w:val="20"/>
          <w:lang w:eastAsia="en-US"/>
        </w:rPr>
        <w:t>e</w:t>
      </w:r>
      <w:r w:rsidR="002C0B45" w:rsidRPr="00A64DCB">
        <w:rPr>
          <w:rFonts w:ascii="Calibri" w:hAnsi="Calibri" w:cs="Arial"/>
          <w:szCs w:val="20"/>
          <w:lang w:eastAsia="en-US"/>
        </w:rPr>
        <w:t xml:space="preserve"> </w:t>
      </w:r>
      <w:r>
        <w:rPr>
          <w:rFonts w:ascii="Calibri" w:hAnsi="Calibri" w:cs="Arial"/>
          <w:szCs w:val="20"/>
          <w:lang w:eastAsia="en-US"/>
        </w:rPr>
        <w:t xml:space="preserve">rain </w:t>
      </w:r>
      <w:r w:rsidR="002C0B45" w:rsidRPr="00A64DCB">
        <w:rPr>
          <w:rFonts w:ascii="Calibri" w:hAnsi="Calibri" w:cs="Arial"/>
          <w:szCs w:val="20"/>
          <w:lang w:eastAsia="en-US"/>
        </w:rPr>
        <w:t xml:space="preserve">should provide much needed moisture for </w:t>
      </w:r>
      <w:r w:rsidR="002C0B45" w:rsidRPr="00A64DCB">
        <w:rPr>
          <w:rFonts w:ascii="Calibri" w:hAnsi="Calibri" w:cs="Arial"/>
          <w:bCs/>
          <w:lang w:eastAsia="en-US"/>
        </w:rPr>
        <w:t>the germination of recently sown winter crops.</w:t>
      </w:r>
    </w:p>
    <w:p w:rsidR="00F56B5B" w:rsidRPr="00A64DCB" w:rsidRDefault="00A36E81" w:rsidP="00317564">
      <w:pPr>
        <w:pStyle w:val="ListBullet"/>
        <w:numPr>
          <w:ilvl w:val="0"/>
          <w:numId w:val="43"/>
        </w:numPr>
        <w:spacing w:before="80"/>
        <w:rPr>
          <w:rFonts w:ascii="Calibri" w:hAnsi="Calibri" w:cs="Arial"/>
          <w:bCs/>
          <w:szCs w:val="20"/>
          <w:lang w:eastAsia="en-US"/>
        </w:rPr>
      </w:pPr>
      <w:r w:rsidRPr="00A64DCB">
        <w:rPr>
          <w:rFonts w:ascii="Calibri" w:hAnsi="Calibri" w:cs="Arial"/>
          <w:bCs/>
          <w:szCs w:val="20"/>
          <w:lang w:eastAsia="en-US"/>
        </w:rPr>
        <w:t>May 2012 rainfall was below average across most parts of Australia.</w:t>
      </w:r>
      <w:r w:rsidR="00F56B5B" w:rsidRPr="00A64DCB">
        <w:rPr>
          <w:rFonts w:ascii="Calibri" w:hAnsi="Calibri" w:cs="Arial"/>
          <w:bCs/>
          <w:szCs w:val="20"/>
          <w:lang w:eastAsia="en-US"/>
        </w:rPr>
        <w:t xml:space="preserve"> Only </w:t>
      </w:r>
      <w:r w:rsidRPr="00A64DCB">
        <w:rPr>
          <w:rFonts w:ascii="Calibri" w:hAnsi="Calibri" w:cs="Arial"/>
          <w:bCs/>
          <w:szCs w:val="20"/>
          <w:lang w:eastAsia="en-US"/>
        </w:rPr>
        <w:t>Tasma</w:t>
      </w:r>
      <w:r w:rsidR="00F56B5B" w:rsidRPr="00A64DCB">
        <w:rPr>
          <w:rFonts w:ascii="Calibri" w:hAnsi="Calibri" w:cs="Arial"/>
          <w:bCs/>
          <w:szCs w:val="20"/>
          <w:lang w:eastAsia="en-US"/>
        </w:rPr>
        <w:t>nia and parts of southern and north eastern Australia received above average rainfall.</w:t>
      </w:r>
    </w:p>
    <w:p w:rsidR="002C7CDF" w:rsidRPr="00A64DCB" w:rsidRDefault="002C7CDF" w:rsidP="002C7CDF">
      <w:pPr>
        <w:pStyle w:val="ListBullet"/>
        <w:numPr>
          <w:ilvl w:val="0"/>
          <w:numId w:val="43"/>
        </w:numPr>
        <w:spacing w:before="80"/>
        <w:rPr>
          <w:rFonts w:ascii="Calibri" w:hAnsi="Calibri" w:cs="Arial"/>
          <w:bCs/>
          <w:szCs w:val="20"/>
          <w:lang w:eastAsia="en-US"/>
        </w:rPr>
      </w:pPr>
      <w:r w:rsidRPr="00A64DCB">
        <w:rPr>
          <w:rFonts w:ascii="Calibri" w:hAnsi="Calibri" w:cs="Arial"/>
          <w:bCs/>
          <w:szCs w:val="20"/>
          <w:lang w:eastAsia="en-US"/>
        </w:rPr>
        <w:t xml:space="preserve">Autumn 2012 </w:t>
      </w:r>
      <w:r w:rsidRPr="00A64DCB">
        <w:rPr>
          <w:rFonts w:ascii="Calibri" w:hAnsi="Calibri" w:cs="Arial"/>
          <w:szCs w:val="20"/>
          <w:lang w:eastAsia="en-US"/>
        </w:rPr>
        <w:t xml:space="preserve">rainfall was generally above average across </w:t>
      </w:r>
      <w:r w:rsidR="00C224DE" w:rsidRPr="00A64DCB">
        <w:rPr>
          <w:rFonts w:ascii="Calibri" w:hAnsi="Calibri" w:cs="Arial"/>
          <w:szCs w:val="20"/>
          <w:lang w:eastAsia="en-US"/>
        </w:rPr>
        <w:t>northern and eastern Australia.</w:t>
      </w:r>
    </w:p>
    <w:p w:rsidR="00D432FD" w:rsidRPr="00A64DCB" w:rsidRDefault="0002119F" w:rsidP="00D432FD">
      <w:pPr>
        <w:pStyle w:val="ListBullet"/>
        <w:numPr>
          <w:ilvl w:val="0"/>
          <w:numId w:val="43"/>
        </w:numPr>
        <w:spacing w:before="80"/>
        <w:rPr>
          <w:rFonts w:ascii="Calibri" w:hAnsi="Calibri" w:cs="Arial"/>
          <w:bCs/>
          <w:szCs w:val="20"/>
          <w:lang w:eastAsia="en-US"/>
        </w:rPr>
      </w:pPr>
      <w:r w:rsidRPr="00A64DCB">
        <w:rPr>
          <w:rFonts w:ascii="Calibri" w:hAnsi="Calibri" w:cs="Arial"/>
          <w:bCs/>
          <w:szCs w:val="20"/>
          <w:lang w:eastAsia="en-US"/>
        </w:rPr>
        <w:t>P</w:t>
      </w:r>
      <w:r w:rsidR="00D432FD" w:rsidRPr="00A64DCB">
        <w:rPr>
          <w:rFonts w:ascii="Calibri" w:hAnsi="Calibri" w:cs="Arial"/>
          <w:bCs/>
          <w:szCs w:val="20"/>
          <w:lang w:eastAsia="en-US"/>
        </w:rPr>
        <w:t xml:space="preserve">arts of southern and central Western Australia </w:t>
      </w:r>
      <w:r w:rsidR="002C0B45" w:rsidRPr="00A64DCB">
        <w:rPr>
          <w:rFonts w:ascii="Calibri" w:hAnsi="Calibri" w:cs="Arial"/>
          <w:bCs/>
          <w:szCs w:val="20"/>
          <w:lang w:eastAsia="en-US"/>
        </w:rPr>
        <w:t>experienced</w:t>
      </w:r>
      <w:r w:rsidR="00D432FD" w:rsidRPr="00A64DCB">
        <w:rPr>
          <w:rFonts w:ascii="Calibri" w:hAnsi="Calibri" w:cs="Arial"/>
          <w:bCs/>
          <w:szCs w:val="20"/>
          <w:lang w:eastAsia="en-US"/>
        </w:rPr>
        <w:t xml:space="preserve"> se</w:t>
      </w:r>
      <w:r w:rsidRPr="00A64DCB">
        <w:rPr>
          <w:rFonts w:ascii="Calibri" w:hAnsi="Calibri" w:cs="Arial"/>
          <w:bCs/>
          <w:szCs w:val="20"/>
          <w:lang w:eastAsia="en-US"/>
        </w:rPr>
        <w:t xml:space="preserve">vere rainfall deficiencies </w:t>
      </w:r>
      <w:r w:rsidR="002C0B45" w:rsidRPr="00A64DCB">
        <w:rPr>
          <w:rFonts w:ascii="Calibri" w:hAnsi="Calibri" w:cs="Arial"/>
          <w:bCs/>
          <w:szCs w:val="20"/>
          <w:lang w:eastAsia="en-US"/>
        </w:rPr>
        <w:t>over autumn 2012</w:t>
      </w:r>
      <w:r w:rsidRPr="00A64DCB">
        <w:rPr>
          <w:rFonts w:ascii="Calibri" w:hAnsi="Calibri" w:cs="Arial"/>
          <w:bCs/>
          <w:szCs w:val="20"/>
          <w:lang w:eastAsia="en-US"/>
        </w:rPr>
        <w:t xml:space="preserve">. </w:t>
      </w:r>
      <w:r w:rsidR="00D432FD" w:rsidRPr="00A64DCB">
        <w:rPr>
          <w:rFonts w:ascii="Calibri" w:hAnsi="Calibri" w:cs="Arial"/>
          <w:bCs/>
          <w:szCs w:val="20"/>
          <w:lang w:eastAsia="en-US"/>
        </w:rPr>
        <w:t xml:space="preserve">This </w:t>
      </w:r>
      <w:r w:rsidRPr="00A64DCB">
        <w:rPr>
          <w:rFonts w:ascii="Calibri" w:hAnsi="Calibri" w:cs="Arial"/>
          <w:bCs/>
          <w:szCs w:val="20"/>
          <w:lang w:eastAsia="en-US"/>
        </w:rPr>
        <w:t xml:space="preserve">is </w:t>
      </w:r>
      <w:r w:rsidR="002C0B45" w:rsidRPr="00A64DCB">
        <w:rPr>
          <w:rFonts w:ascii="Calibri" w:hAnsi="Calibri" w:cs="Arial"/>
          <w:bCs/>
          <w:szCs w:val="20"/>
          <w:lang w:eastAsia="en-US"/>
        </w:rPr>
        <w:t xml:space="preserve">consistent with </w:t>
      </w:r>
      <w:r w:rsidRPr="00A64DCB">
        <w:rPr>
          <w:rFonts w:ascii="Calibri" w:hAnsi="Calibri" w:cs="Arial"/>
          <w:bCs/>
          <w:szCs w:val="20"/>
          <w:lang w:eastAsia="en-US"/>
        </w:rPr>
        <w:t xml:space="preserve">a long-term pattern of </w:t>
      </w:r>
      <w:r w:rsidR="00D432FD" w:rsidRPr="00A64DCB">
        <w:rPr>
          <w:rFonts w:ascii="Calibri" w:hAnsi="Calibri" w:cs="Arial"/>
          <w:bCs/>
          <w:szCs w:val="20"/>
          <w:lang w:eastAsia="en-US"/>
        </w:rPr>
        <w:t xml:space="preserve">rainfall deficiencies in </w:t>
      </w:r>
      <w:r w:rsidR="002C0B45" w:rsidRPr="00A64DCB">
        <w:rPr>
          <w:rFonts w:ascii="Calibri" w:hAnsi="Calibri" w:cs="Arial"/>
          <w:bCs/>
          <w:szCs w:val="20"/>
          <w:lang w:eastAsia="en-US"/>
        </w:rPr>
        <w:t xml:space="preserve">this area and has led </w:t>
      </w:r>
      <w:r w:rsidRPr="00A64DCB">
        <w:rPr>
          <w:rFonts w:ascii="Calibri" w:hAnsi="Calibri" w:cs="Arial"/>
          <w:bCs/>
          <w:szCs w:val="20"/>
          <w:lang w:eastAsia="en-US"/>
        </w:rPr>
        <w:t>to severe lower and upper soil moisture deficiencies.</w:t>
      </w:r>
      <w:r w:rsidR="002C0B45" w:rsidRPr="00A64DCB">
        <w:rPr>
          <w:rFonts w:ascii="Calibri" w:hAnsi="Calibri" w:cs="Arial"/>
          <w:bCs/>
          <w:szCs w:val="20"/>
          <w:lang w:eastAsia="en-US"/>
        </w:rPr>
        <w:t xml:space="preserve"> U</w:t>
      </w:r>
      <w:r w:rsidRPr="00A64DCB">
        <w:rPr>
          <w:rFonts w:ascii="Calibri" w:hAnsi="Calibri" w:cs="Arial"/>
          <w:bCs/>
          <w:szCs w:val="20"/>
          <w:lang w:eastAsia="en-US"/>
        </w:rPr>
        <w:t>pper soil moisture deficiencies also remain acro</w:t>
      </w:r>
      <w:r w:rsidR="00CD2341" w:rsidRPr="00A64DCB">
        <w:rPr>
          <w:rFonts w:ascii="Calibri" w:hAnsi="Calibri" w:cs="Arial"/>
          <w:bCs/>
          <w:szCs w:val="20"/>
          <w:lang w:eastAsia="en-US"/>
        </w:rPr>
        <w:t>ss south eastern cropping zones</w:t>
      </w:r>
      <w:r w:rsidRPr="00A64DCB">
        <w:rPr>
          <w:rFonts w:ascii="Calibri" w:hAnsi="Calibri" w:cs="Arial"/>
          <w:bCs/>
          <w:szCs w:val="20"/>
          <w:lang w:eastAsia="en-US"/>
        </w:rPr>
        <w:t xml:space="preserve"> despite </w:t>
      </w:r>
      <w:r w:rsidR="00CD2341" w:rsidRPr="00A64DCB">
        <w:rPr>
          <w:rFonts w:ascii="Calibri" w:hAnsi="Calibri" w:cs="Arial"/>
          <w:bCs/>
          <w:szCs w:val="20"/>
          <w:lang w:eastAsia="en-US"/>
        </w:rPr>
        <w:t>above average May</w:t>
      </w:r>
      <w:r w:rsidR="00C224DE" w:rsidRPr="00A64DCB">
        <w:rPr>
          <w:rFonts w:ascii="Calibri" w:hAnsi="Calibri" w:cs="Arial"/>
          <w:bCs/>
          <w:szCs w:val="20"/>
          <w:lang w:eastAsia="en-US"/>
        </w:rPr>
        <w:t xml:space="preserve"> rainfall.</w:t>
      </w:r>
    </w:p>
    <w:p w:rsidR="00317564" w:rsidRPr="00A64DCB" w:rsidRDefault="00317564" w:rsidP="00317564">
      <w:pPr>
        <w:pStyle w:val="ListBullet"/>
        <w:numPr>
          <w:ilvl w:val="0"/>
          <w:numId w:val="43"/>
        </w:numPr>
        <w:spacing w:before="80"/>
        <w:rPr>
          <w:rFonts w:ascii="Calibri" w:hAnsi="Calibri" w:cs="Arial"/>
          <w:bCs/>
          <w:szCs w:val="20"/>
          <w:lang w:eastAsia="en-US"/>
        </w:rPr>
      </w:pPr>
      <w:r w:rsidRPr="00A64DCB">
        <w:rPr>
          <w:rFonts w:ascii="Calibri" w:hAnsi="Calibri" w:cs="Arial"/>
          <w:szCs w:val="20"/>
          <w:lang w:eastAsia="en-US"/>
        </w:rPr>
        <w:t>Climate models indicate that there will be further warming in the Tropical Pacific Ocean over the next six months, with conditions likely to approach or exceed El Niño thresholds</w:t>
      </w:r>
      <w:r w:rsidRPr="00A64DCB">
        <w:rPr>
          <w:rFonts w:ascii="Calibri" w:hAnsi="Calibri" w:cs="Arial"/>
          <w:bCs/>
          <w:szCs w:val="20"/>
          <w:lang w:eastAsia="en-US"/>
        </w:rPr>
        <w:t xml:space="preserve"> during spring 2012 or summer 2012–13. At present, no climate models </w:t>
      </w:r>
      <w:r w:rsidR="00910326" w:rsidRPr="00A64DCB">
        <w:rPr>
          <w:rFonts w:ascii="Calibri" w:hAnsi="Calibri" w:cs="Arial"/>
          <w:bCs/>
          <w:szCs w:val="20"/>
          <w:lang w:eastAsia="en-US"/>
        </w:rPr>
        <w:t>forecast</w:t>
      </w:r>
      <w:r w:rsidRPr="00A64DCB">
        <w:rPr>
          <w:rFonts w:ascii="Calibri" w:hAnsi="Calibri" w:cs="Arial"/>
          <w:bCs/>
          <w:szCs w:val="20"/>
          <w:lang w:eastAsia="en-US"/>
        </w:rPr>
        <w:t xml:space="preserve"> a return to La Ni</w:t>
      </w:r>
      <w:r w:rsidRPr="00A64DCB">
        <w:rPr>
          <w:rFonts w:ascii="Calibri" w:hAnsi="Calibri" w:cs="Arial"/>
          <w:szCs w:val="20"/>
          <w:lang w:eastAsia="en-US"/>
        </w:rPr>
        <w:t>ña conditions</w:t>
      </w:r>
      <w:r w:rsidRPr="00A64DCB">
        <w:rPr>
          <w:rFonts w:ascii="Calibri" w:hAnsi="Calibri" w:cs="Arial"/>
          <w:bCs/>
          <w:szCs w:val="20"/>
          <w:lang w:eastAsia="en-US"/>
        </w:rPr>
        <w:t xml:space="preserve"> (Bureau of Meteorology ‘ENSO Wrap-Up’ 5 June 2012).</w:t>
      </w:r>
    </w:p>
    <w:p w:rsidR="003C5ACC" w:rsidRPr="00A64DCB" w:rsidRDefault="00B91946" w:rsidP="00AA2C34">
      <w:pPr>
        <w:pStyle w:val="Heading3"/>
        <w:numPr>
          <w:ilvl w:val="1"/>
          <w:numId w:val="4"/>
        </w:numPr>
        <w:spacing w:before="360" w:line="276" w:lineRule="auto"/>
        <w:ind w:left="709" w:hanging="709"/>
        <w:rPr>
          <w:rFonts w:cs="Arial"/>
          <w:color w:val="auto"/>
          <w:sz w:val="28"/>
          <w:szCs w:val="28"/>
        </w:rPr>
      </w:pPr>
      <w:r w:rsidRPr="00A64DCB">
        <w:rPr>
          <w:rFonts w:cs="Arial"/>
          <w:color w:val="auto"/>
          <w:sz w:val="28"/>
          <w:szCs w:val="28"/>
        </w:rPr>
        <w:t>Rainfall this week</w:t>
      </w:r>
    </w:p>
    <w:p w:rsidR="003C5ACC" w:rsidRDefault="0050675D" w:rsidP="003C1268">
      <w:pPr>
        <w:pStyle w:val="ListParagraph"/>
        <w:spacing w:after="0" w:line="240" w:lineRule="auto"/>
        <w:ind w:left="0"/>
        <w:rPr>
          <w:rFonts w:cs="Arial"/>
          <w:sz w:val="20"/>
          <w:szCs w:val="20"/>
        </w:rPr>
      </w:pPr>
      <w:r w:rsidRPr="00910326">
        <w:rPr>
          <w:rFonts w:cs="Arial"/>
          <w:sz w:val="20"/>
          <w:szCs w:val="20"/>
        </w:rPr>
        <w:t xml:space="preserve">For the week ending </w:t>
      </w:r>
      <w:r w:rsidR="002275C9" w:rsidRPr="00910326">
        <w:rPr>
          <w:rFonts w:cs="Arial"/>
          <w:sz w:val="20"/>
          <w:szCs w:val="20"/>
        </w:rPr>
        <w:t>6 June</w:t>
      </w:r>
      <w:r w:rsidRPr="00910326">
        <w:rPr>
          <w:rFonts w:cs="Arial"/>
          <w:sz w:val="20"/>
          <w:szCs w:val="20"/>
        </w:rPr>
        <w:t xml:space="preserve"> 2012, </w:t>
      </w:r>
      <w:r w:rsidR="00B1004C" w:rsidRPr="00910326">
        <w:rPr>
          <w:rFonts w:cs="Arial"/>
          <w:sz w:val="20"/>
          <w:szCs w:val="20"/>
        </w:rPr>
        <w:t>widespread falls of around 25</w:t>
      </w:r>
      <w:r w:rsidR="002275C9" w:rsidRPr="00910326">
        <w:rPr>
          <w:rFonts w:cs="Arial"/>
          <w:sz w:val="20"/>
          <w:szCs w:val="20"/>
        </w:rPr>
        <w:t xml:space="preserve"> to 50 </w:t>
      </w:r>
      <w:r w:rsidR="00B1004C" w:rsidRPr="00910326">
        <w:rPr>
          <w:rFonts w:cs="Arial"/>
          <w:sz w:val="20"/>
          <w:szCs w:val="20"/>
        </w:rPr>
        <w:t>mm were recorded ac</w:t>
      </w:r>
      <w:r w:rsidR="002275C9" w:rsidRPr="00910326">
        <w:rPr>
          <w:rFonts w:cs="Arial"/>
          <w:sz w:val="20"/>
          <w:szCs w:val="20"/>
        </w:rPr>
        <w:t>ross eastern Australia, with particularly heavy rainfall in south east Victoria. L</w:t>
      </w:r>
      <w:r w:rsidR="0050694E" w:rsidRPr="00910326">
        <w:rPr>
          <w:rFonts w:cs="Arial"/>
          <w:sz w:val="20"/>
          <w:szCs w:val="20"/>
        </w:rPr>
        <w:t xml:space="preserve">ittle or no rainfall was </w:t>
      </w:r>
      <w:r w:rsidR="00B1004C" w:rsidRPr="00910326">
        <w:rPr>
          <w:rFonts w:cs="Arial"/>
          <w:sz w:val="20"/>
          <w:szCs w:val="20"/>
        </w:rPr>
        <w:t>recorded</w:t>
      </w:r>
      <w:r w:rsidR="0050694E" w:rsidRPr="00910326">
        <w:rPr>
          <w:rFonts w:cs="Arial"/>
          <w:sz w:val="20"/>
          <w:szCs w:val="20"/>
        </w:rPr>
        <w:t xml:space="preserve"> over </w:t>
      </w:r>
      <w:r w:rsidR="00452372" w:rsidRPr="00910326">
        <w:rPr>
          <w:rFonts w:cs="Arial"/>
          <w:sz w:val="20"/>
          <w:szCs w:val="20"/>
        </w:rPr>
        <w:t>most</w:t>
      </w:r>
      <w:r w:rsidR="0050694E" w:rsidRPr="00910326">
        <w:rPr>
          <w:rFonts w:cs="Arial"/>
          <w:sz w:val="20"/>
          <w:szCs w:val="20"/>
        </w:rPr>
        <w:t xml:space="preserve"> of </w:t>
      </w:r>
      <w:r w:rsidR="00B1004C" w:rsidRPr="00910326">
        <w:rPr>
          <w:rFonts w:cs="Arial"/>
          <w:sz w:val="20"/>
          <w:szCs w:val="20"/>
        </w:rPr>
        <w:t xml:space="preserve">central and Western </w:t>
      </w:r>
      <w:r w:rsidR="0050694E" w:rsidRPr="00910326">
        <w:rPr>
          <w:rFonts w:cs="Arial"/>
          <w:sz w:val="20"/>
          <w:szCs w:val="20"/>
        </w:rPr>
        <w:t>Australia</w:t>
      </w:r>
      <w:r w:rsidR="002275C9" w:rsidRPr="00910326">
        <w:rPr>
          <w:rFonts w:cs="Arial"/>
          <w:sz w:val="20"/>
          <w:szCs w:val="20"/>
        </w:rPr>
        <w:t>, except in very south</w:t>
      </w:r>
      <w:r w:rsidR="00910326" w:rsidRPr="00910326">
        <w:rPr>
          <w:rFonts w:cs="Arial"/>
          <w:sz w:val="20"/>
          <w:szCs w:val="20"/>
        </w:rPr>
        <w:t xml:space="preserve"> </w:t>
      </w:r>
      <w:r w:rsidR="002275C9" w:rsidRPr="00910326">
        <w:rPr>
          <w:rFonts w:cs="Arial"/>
          <w:sz w:val="20"/>
          <w:szCs w:val="20"/>
        </w:rPr>
        <w:t>western coastal Western Australia where rainfalls over 100 mm were recorded</w:t>
      </w:r>
      <w:r w:rsidRPr="00910326">
        <w:rPr>
          <w:rFonts w:cs="Arial"/>
          <w:sz w:val="20"/>
          <w:szCs w:val="20"/>
        </w:rPr>
        <w:t xml:space="preserve">. </w:t>
      </w:r>
      <w:r w:rsidR="00910326" w:rsidRPr="00910326">
        <w:rPr>
          <w:rFonts w:cs="Arial"/>
          <w:sz w:val="20"/>
          <w:szCs w:val="20"/>
        </w:rPr>
        <w:t xml:space="preserve"> </w:t>
      </w:r>
      <w:r w:rsidRPr="00910326">
        <w:rPr>
          <w:rFonts w:cs="Arial"/>
          <w:sz w:val="20"/>
          <w:szCs w:val="20"/>
        </w:rPr>
        <w:t>For further information</w:t>
      </w:r>
      <w:r w:rsidR="00B91946" w:rsidRPr="00910326">
        <w:rPr>
          <w:rFonts w:cs="Arial"/>
          <w:sz w:val="20"/>
          <w:szCs w:val="20"/>
        </w:rPr>
        <w:t>, go to</w:t>
      </w:r>
      <w:r w:rsidR="00B91946" w:rsidRPr="00090F54">
        <w:rPr>
          <w:rFonts w:cs="Arial"/>
          <w:sz w:val="20"/>
          <w:szCs w:val="20"/>
        </w:rPr>
        <w:t xml:space="preserve"> </w:t>
      </w:r>
      <w:hyperlink r:id="rId10" w:history="1">
        <w:r w:rsidR="008C5D00" w:rsidRPr="000C57EA">
          <w:rPr>
            <w:rStyle w:val="Hyperlink"/>
            <w:rFonts w:cs="Arial"/>
            <w:sz w:val="20"/>
            <w:szCs w:val="20"/>
          </w:rPr>
          <w:t>www.bom.gov.au/climate/current/weeklyrain.shtml</w:t>
        </w:r>
      </w:hyperlink>
      <w:r w:rsidR="00B91946" w:rsidRPr="00090F54">
        <w:rPr>
          <w:rFonts w:cs="Arial"/>
          <w:sz w:val="20"/>
          <w:szCs w:val="20"/>
        </w:rPr>
        <w:t>.</w:t>
      </w:r>
    </w:p>
    <w:p w:rsidR="003C5ACC" w:rsidRPr="008E57E0" w:rsidRDefault="00B91946" w:rsidP="007F1611">
      <w:pPr>
        <w:pStyle w:val="Heading4"/>
        <w:jc w:val="center"/>
        <w:rPr>
          <w:rFonts w:ascii="Calibri" w:hAnsi="Calibri" w:cs="Arial"/>
          <w:i w:val="0"/>
          <w:color w:val="auto"/>
        </w:rPr>
      </w:pPr>
      <w:r w:rsidRPr="008E57E0">
        <w:rPr>
          <w:rFonts w:ascii="Calibri" w:hAnsi="Calibri" w:cs="Arial"/>
          <w:i w:val="0"/>
          <w:color w:val="auto"/>
        </w:rPr>
        <w:t>Rainfall for the week ending</w:t>
      </w:r>
      <w:r w:rsidR="007544CB">
        <w:rPr>
          <w:rFonts w:ascii="Calibri" w:hAnsi="Calibri" w:cs="Arial"/>
          <w:i w:val="0"/>
          <w:color w:val="auto"/>
        </w:rPr>
        <w:t xml:space="preserve"> </w:t>
      </w:r>
      <w:r w:rsidR="002275C9">
        <w:rPr>
          <w:rFonts w:ascii="Calibri" w:hAnsi="Calibri" w:cs="Arial"/>
          <w:i w:val="0"/>
          <w:color w:val="auto"/>
        </w:rPr>
        <w:t>6 June</w:t>
      </w:r>
      <w:r w:rsidRPr="008E57E0">
        <w:rPr>
          <w:rFonts w:ascii="Calibri" w:hAnsi="Calibri" w:cs="Arial"/>
          <w:i w:val="0"/>
          <w:color w:val="auto"/>
        </w:rPr>
        <w:t xml:space="preserve"> 2012</w:t>
      </w:r>
    </w:p>
    <w:p w:rsidR="003C5ACC" w:rsidRPr="008C5D00" w:rsidRDefault="00F17B4D" w:rsidP="00C441BC">
      <w:pPr>
        <w:jc w:val="center"/>
        <w:rPr>
          <w:rFonts w:ascii="Calibri" w:hAnsi="Calibri"/>
          <w:noProof/>
        </w:rPr>
      </w:pPr>
      <w:r>
        <w:rPr>
          <w:noProof/>
        </w:rPr>
        <w:drawing>
          <wp:inline distT="0" distB="0" distL="0" distR="0">
            <wp:extent cx="5012055" cy="3441700"/>
            <wp:effectExtent l="19050" t="19050" r="17145" b="25400"/>
            <wp:docPr id="1" name="Picture 1" descr="Map showing rainfall for the week ending 6 June 2012. Rainfall was recorded mainly across southeast and northeast Australia, with particularly heavy rainfalls in south east Victoria. Little to no rainfall was recorded across most of central and Western Australia, except in the very southwestern coastal area of Western Australia where rainfalls over 100 mm were recorded. Image provided by the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showing rainfall for the week ending 6 June 2012. Rainfall was recorded mainly across southeast and northeast Australia, with particularly heavy rainfalls in south east Victoria. Little to no rainfall was recorded across most of central and Western Australia, except in the very southwestern coastal area of Western Australia where rainfalls over 100 mm were recorded. Image provided by the Bureau of Meteorology."/>
                    <pic:cNvPicPr>
                      <a:picLocks noChangeAspect="1" noChangeArrowheads="1"/>
                    </pic:cNvPicPr>
                  </pic:nvPicPr>
                  <pic:blipFill>
                    <a:blip r:embed="rId11" cstate="print"/>
                    <a:srcRect/>
                    <a:stretch>
                      <a:fillRect/>
                    </a:stretch>
                  </pic:blipFill>
                  <pic:spPr bwMode="auto">
                    <a:xfrm>
                      <a:off x="0" y="0"/>
                      <a:ext cx="5012055" cy="3441700"/>
                    </a:xfrm>
                    <a:prstGeom prst="rect">
                      <a:avLst/>
                    </a:prstGeom>
                    <a:noFill/>
                    <a:ln w="6350" cmpd="sng">
                      <a:solidFill>
                        <a:srgbClr val="000000"/>
                      </a:solidFill>
                      <a:miter lim="800000"/>
                      <a:headEnd/>
                      <a:tailEnd/>
                    </a:ln>
                    <a:effectLst/>
                  </pic:spPr>
                </pic:pic>
              </a:graphicData>
            </a:graphic>
          </wp:inline>
        </w:drawing>
      </w:r>
    </w:p>
    <w:p w:rsidR="003C5ACC" w:rsidRPr="00D87D23" w:rsidRDefault="00B91946" w:rsidP="00E13B78">
      <w:pPr>
        <w:pStyle w:val="Heading3"/>
        <w:numPr>
          <w:ilvl w:val="1"/>
          <w:numId w:val="4"/>
        </w:numPr>
        <w:spacing w:line="276" w:lineRule="auto"/>
        <w:ind w:left="709" w:hanging="709"/>
        <w:rPr>
          <w:rFonts w:cs="Arial"/>
          <w:color w:val="auto"/>
          <w:sz w:val="28"/>
          <w:szCs w:val="28"/>
        </w:rPr>
      </w:pPr>
      <w:r w:rsidRPr="00B91946">
        <w:rPr>
          <w:rFonts w:ascii="Calibri" w:hAnsi="Calibri" w:cs="Arial"/>
          <w:color w:val="0070C0"/>
          <w:sz w:val="28"/>
          <w:szCs w:val="28"/>
        </w:rPr>
        <w:br w:type="page"/>
      </w:r>
      <w:r w:rsidRPr="00D87D23">
        <w:rPr>
          <w:rFonts w:cs="Arial"/>
          <w:color w:val="auto"/>
          <w:sz w:val="28"/>
          <w:szCs w:val="28"/>
        </w:rPr>
        <w:lastRenderedPageBreak/>
        <w:t>Temperature anomalies this week</w:t>
      </w:r>
    </w:p>
    <w:p w:rsidR="003C5ACC" w:rsidRPr="00FD78D7" w:rsidRDefault="00056322">
      <w:pPr>
        <w:rPr>
          <w:rFonts w:ascii="Calibri" w:hAnsi="Calibri"/>
        </w:rPr>
      </w:pPr>
      <w:r w:rsidRPr="00452372">
        <w:rPr>
          <w:rFonts w:ascii="Calibri" w:hAnsi="Calibri" w:cs="Arial"/>
          <w:sz w:val="20"/>
          <w:szCs w:val="20"/>
        </w:rPr>
        <w:t>Spatial temperature analyses are based on historical weekly temperature data provided by the Bureau of Meteorology. These temperature anomaly maps show the departure of the maximum and minimum from the long-term average. Temperature anomalies are calculated using high resolution gridded datasets from 1911 onwards. For further information on temperature anomalies</w:t>
      </w:r>
      <w:r w:rsidR="00B91946" w:rsidRPr="00D87D23">
        <w:rPr>
          <w:rFonts w:ascii="Calibri" w:hAnsi="Calibri" w:cs="Arial"/>
          <w:sz w:val="20"/>
          <w:szCs w:val="20"/>
        </w:rPr>
        <w:t>, go to</w:t>
      </w:r>
      <w:r w:rsidR="00B91946" w:rsidRPr="00520B12">
        <w:rPr>
          <w:rFonts w:ascii="Calibri" w:hAnsi="Calibri" w:cs="Arial"/>
          <w:sz w:val="20"/>
          <w:szCs w:val="20"/>
        </w:rPr>
        <w:t xml:space="preserve"> </w:t>
      </w:r>
      <w:hyperlink r:id="rId12" w:history="1">
        <w:r w:rsidR="003C6C5A" w:rsidRPr="00BB5C30">
          <w:rPr>
            <w:rStyle w:val="Hyperlink"/>
            <w:rFonts w:ascii="Calibri" w:hAnsi="Calibri" w:cs="Arial"/>
            <w:sz w:val="20"/>
            <w:szCs w:val="20"/>
          </w:rPr>
          <w:t>www.bom.gov.au/jsp/awap/</w:t>
        </w:r>
      </w:hyperlink>
      <w:r w:rsidR="00B91946" w:rsidRPr="00C84845">
        <w:rPr>
          <w:rFonts w:ascii="Calibri" w:hAnsi="Calibri"/>
        </w:rPr>
        <w:t>.</w:t>
      </w:r>
    </w:p>
    <w:p w:rsidR="003C5ACC" w:rsidRPr="00D67EB2" w:rsidRDefault="00B91946">
      <w:pPr>
        <w:pStyle w:val="Heading4"/>
        <w:jc w:val="center"/>
        <w:rPr>
          <w:rFonts w:ascii="Calibri" w:hAnsi="Calibri" w:cs="Arial"/>
          <w:i w:val="0"/>
          <w:color w:val="auto"/>
        </w:rPr>
      </w:pPr>
      <w:r w:rsidRPr="00D67EB2">
        <w:rPr>
          <w:rFonts w:ascii="Calibri" w:hAnsi="Calibri" w:cs="Arial"/>
          <w:i w:val="0"/>
          <w:color w:val="auto"/>
        </w:rPr>
        <w:t xml:space="preserve">Maximum temperature anomalies for the week ending </w:t>
      </w:r>
      <w:r w:rsidR="00910326">
        <w:rPr>
          <w:rFonts w:ascii="Calibri" w:hAnsi="Calibri" w:cs="Arial"/>
          <w:i w:val="0"/>
          <w:color w:val="auto"/>
        </w:rPr>
        <w:t>5</w:t>
      </w:r>
      <w:r w:rsidR="00DE7DF4" w:rsidRPr="00D67EB2">
        <w:rPr>
          <w:rFonts w:ascii="Calibri" w:hAnsi="Calibri" w:cs="Arial"/>
          <w:i w:val="0"/>
          <w:color w:val="auto"/>
        </w:rPr>
        <w:t xml:space="preserve"> </w:t>
      </w:r>
      <w:r w:rsidR="00910326">
        <w:rPr>
          <w:rFonts w:ascii="Calibri" w:hAnsi="Calibri" w:cs="Arial"/>
          <w:i w:val="0"/>
          <w:color w:val="auto"/>
        </w:rPr>
        <w:t>June</w:t>
      </w:r>
      <w:r w:rsidRPr="00D67EB2">
        <w:rPr>
          <w:rFonts w:ascii="Calibri" w:hAnsi="Calibri" w:cs="Arial"/>
          <w:i w:val="0"/>
          <w:color w:val="auto"/>
        </w:rPr>
        <w:t xml:space="preserve"> 2012</w:t>
      </w:r>
    </w:p>
    <w:p w:rsidR="003C5ACC" w:rsidRPr="008C5D00" w:rsidRDefault="00F17B4D">
      <w:pPr>
        <w:jc w:val="center"/>
        <w:rPr>
          <w:rFonts w:ascii="Calibri" w:hAnsi="Calibri" w:cs="Arial"/>
          <w:sz w:val="18"/>
          <w:szCs w:val="18"/>
        </w:rPr>
      </w:pPr>
      <w:r>
        <w:rPr>
          <w:noProof/>
        </w:rPr>
        <w:drawing>
          <wp:inline distT="0" distB="0" distL="0" distR="0">
            <wp:extent cx="5094252" cy="3528000"/>
            <wp:effectExtent l="19050" t="19050" r="11148" b="15300"/>
            <wp:docPr id="2" name="Picture 2" descr="Map showing maximum temperature anomalies for the week ending 5 June 2012. Image provided by the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showing maximum temperature anomalies for the week ending 5 June 2012. Image provided by the Bureau of Meteorology"/>
                    <pic:cNvPicPr>
                      <a:picLocks noChangeAspect="1" noChangeArrowheads="1"/>
                    </pic:cNvPicPr>
                  </pic:nvPicPr>
                  <pic:blipFill>
                    <a:blip r:embed="rId13" cstate="print"/>
                    <a:srcRect/>
                    <a:stretch>
                      <a:fillRect/>
                    </a:stretch>
                  </pic:blipFill>
                  <pic:spPr bwMode="auto">
                    <a:xfrm>
                      <a:off x="0" y="0"/>
                      <a:ext cx="5094252" cy="3528000"/>
                    </a:xfrm>
                    <a:prstGeom prst="rect">
                      <a:avLst/>
                    </a:prstGeom>
                    <a:noFill/>
                    <a:ln w="6350" cmpd="sng">
                      <a:solidFill>
                        <a:srgbClr val="000000"/>
                      </a:solidFill>
                      <a:miter lim="800000"/>
                      <a:headEnd/>
                      <a:tailEnd/>
                    </a:ln>
                    <a:effectLst/>
                  </pic:spPr>
                </pic:pic>
              </a:graphicData>
            </a:graphic>
          </wp:inline>
        </w:drawing>
      </w:r>
    </w:p>
    <w:p w:rsidR="003C5ACC" w:rsidRPr="00D67EB2" w:rsidRDefault="00B91946">
      <w:pPr>
        <w:pStyle w:val="Heading4"/>
        <w:jc w:val="center"/>
        <w:rPr>
          <w:rFonts w:ascii="Calibri" w:hAnsi="Calibri" w:cs="Arial"/>
          <w:i w:val="0"/>
          <w:color w:val="auto"/>
        </w:rPr>
      </w:pPr>
      <w:r w:rsidRPr="00D67EB2">
        <w:rPr>
          <w:rFonts w:ascii="Calibri" w:hAnsi="Calibri" w:cs="Arial"/>
          <w:i w:val="0"/>
          <w:color w:val="auto"/>
        </w:rPr>
        <w:t xml:space="preserve">Minimum temperature anomalies for the week ending </w:t>
      </w:r>
      <w:r w:rsidR="00910326">
        <w:rPr>
          <w:rFonts w:ascii="Calibri" w:hAnsi="Calibri" w:cs="Arial"/>
          <w:i w:val="0"/>
          <w:color w:val="auto"/>
        </w:rPr>
        <w:t>5 June</w:t>
      </w:r>
      <w:r w:rsidRPr="00D67EB2">
        <w:rPr>
          <w:rFonts w:ascii="Calibri" w:hAnsi="Calibri" w:cs="Arial"/>
          <w:i w:val="0"/>
          <w:color w:val="auto"/>
        </w:rPr>
        <w:t xml:space="preserve"> 2012</w:t>
      </w:r>
    </w:p>
    <w:p w:rsidR="003C5ACC" w:rsidRPr="00C033EE" w:rsidRDefault="00F17B4D">
      <w:pPr>
        <w:jc w:val="center"/>
        <w:rPr>
          <w:rFonts w:ascii="Calibri" w:hAnsi="Calibri"/>
          <w:snapToGrid w:val="0"/>
          <w:color w:val="00B0F0"/>
          <w:w w:val="0"/>
          <w:sz w:val="0"/>
          <w:szCs w:val="0"/>
          <w:u w:color="000000"/>
          <w:bdr w:val="none" w:sz="0" w:space="0" w:color="000000"/>
          <w:shd w:val="clear" w:color="000000" w:fill="000000"/>
        </w:rPr>
      </w:pPr>
      <w:r>
        <w:rPr>
          <w:noProof/>
        </w:rPr>
        <w:drawing>
          <wp:inline distT="0" distB="0" distL="0" distR="0">
            <wp:extent cx="5152450" cy="3528000"/>
            <wp:effectExtent l="19050" t="19050" r="10100" b="15300"/>
            <wp:docPr id="3" name="Picture 3" descr="Map showing minimum temperature anomalies for the week ending 5 June 2012. Image provided by the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showing minimum temperature anomalies for the week ending 5 June 2012. Image provided by the Bureau of Meteorology"/>
                    <pic:cNvPicPr>
                      <a:picLocks noChangeAspect="1" noChangeArrowheads="1"/>
                    </pic:cNvPicPr>
                  </pic:nvPicPr>
                  <pic:blipFill>
                    <a:blip r:embed="rId14" cstate="print"/>
                    <a:srcRect/>
                    <a:stretch>
                      <a:fillRect/>
                    </a:stretch>
                  </pic:blipFill>
                  <pic:spPr bwMode="auto">
                    <a:xfrm>
                      <a:off x="0" y="0"/>
                      <a:ext cx="5152450" cy="3528000"/>
                    </a:xfrm>
                    <a:prstGeom prst="rect">
                      <a:avLst/>
                    </a:prstGeom>
                    <a:noFill/>
                    <a:ln w="6350" cmpd="sng">
                      <a:solidFill>
                        <a:srgbClr val="000000"/>
                      </a:solidFill>
                      <a:miter lim="800000"/>
                      <a:headEnd/>
                      <a:tailEnd/>
                    </a:ln>
                    <a:effectLst/>
                  </pic:spPr>
                </pic:pic>
              </a:graphicData>
            </a:graphic>
          </wp:inline>
        </w:drawing>
      </w:r>
      <w:r w:rsidR="00B91946" w:rsidRPr="00C033EE">
        <w:rPr>
          <w:rFonts w:ascii="Calibri" w:hAnsi="Calibri"/>
          <w:color w:val="00B0F0"/>
        </w:rPr>
        <w:br w:type="page"/>
      </w:r>
    </w:p>
    <w:tbl>
      <w:tblPr>
        <w:tblW w:w="0" w:type="auto"/>
        <w:tblLook w:val="04A0"/>
      </w:tblPr>
      <w:tblGrid>
        <w:gridCol w:w="6471"/>
        <w:gridCol w:w="2771"/>
      </w:tblGrid>
      <w:tr w:rsidR="007C2271" w:rsidTr="000C7D1E">
        <w:tc>
          <w:tcPr>
            <w:tcW w:w="6471" w:type="dxa"/>
          </w:tcPr>
          <w:p w:rsidR="007C2271" w:rsidRDefault="007C2271" w:rsidP="000C7D1E">
            <w:pPr>
              <w:rPr>
                <w:noProof/>
              </w:rPr>
            </w:pPr>
          </w:p>
        </w:tc>
        <w:tc>
          <w:tcPr>
            <w:tcW w:w="2771" w:type="dxa"/>
            <w:vAlign w:val="center"/>
          </w:tcPr>
          <w:p w:rsidR="007C2271" w:rsidRDefault="007C2271" w:rsidP="00CC6EEE">
            <w:pPr>
              <w:jc w:val="center"/>
              <w:rPr>
                <w:noProof/>
              </w:rPr>
            </w:pPr>
          </w:p>
        </w:tc>
      </w:tr>
    </w:tbl>
    <w:p w:rsidR="00CC59F4" w:rsidRPr="00CC59F4" w:rsidRDefault="00CC59F4" w:rsidP="00CC59F4">
      <w:pPr>
        <w:pStyle w:val="Heading3"/>
        <w:numPr>
          <w:ilvl w:val="1"/>
          <w:numId w:val="4"/>
        </w:numPr>
        <w:spacing w:before="0" w:line="276" w:lineRule="auto"/>
        <w:ind w:left="709" w:hanging="709"/>
        <w:rPr>
          <w:rFonts w:cs="Arial"/>
          <w:color w:val="auto"/>
          <w:sz w:val="28"/>
          <w:szCs w:val="28"/>
        </w:rPr>
      </w:pPr>
      <w:r>
        <w:rPr>
          <w:rFonts w:cs="Arial"/>
          <w:color w:val="auto"/>
          <w:sz w:val="28"/>
          <w:szCs w:val="28"/>
        </w:rPr>
        <w:t>May</w:t>
      </w:r>
      <w:r w:rsidRPr="00CC59F4">
        <w:rPr>
          <w:rFonts w:cs="Arial"/>
          <w:color w:val="auto"/>
          <w:sz w:val="28"/>
          <w:szCs w:val="28"/>
        </w:rPr>
        <w:t xml:space="preserve"> 2012 rainfall</w:t>
      </w:r>
    </w:p>
    <w:p w:rsidR="00CC59F4" w:rsidRDefault="00CC59F4" w:rsidP="00CC59F4">
      <w:pPr>
        <w:pStyle w:val="Heading4"/>
        <w:jc w:val="center"/>
        <w:rPr>
          <w:rFonts w:ascii="Calibri" w:hAnsi="Calibri" w:cs="Arial"/>
          <w:i w:val="0"/>
          <w:color w:val="auto"/>
        </w:rPr>
      </w:pPr>
      <w:r w:rsidRPr="00ED7F50">
        <w:rPr>
          <w:rFonts w:ascii="Calibri" w:hAnsi="Calibri" w:cs="Arial"/>
          <w:i w:val="0"/>
          <w:color w:val="auto"/>
        </w:rPr>
        <w:t xml:space="preserve">Rainfall percentiles for </w:t>
      </w:r>
      <w:r>
        <w:rPr>
          <w:rFonts w:ascii="Calibri" w:hAnsi="Calibri" w:cs="Arial"/>
          <w:i w:val="0"/>
          <w:color w:val="auto"/>
        </w:rPr>
        <w:t>May</w:t>
      </w:r>
      <w:r w:rsidRPr="00ED7F50">
        <w:rPr>
          <w:rFonts w:ascii="Calibri" w:hAnsi="Calibri" w:cs="Arial"/>
          <w:i w:val="0"/>
          <w:color w:val="auto"/>
        </w:rPr>
        <w:t xml:space="preserve"> 2012</w:t>
      </w:r>
    </w:p>
    <w:tbl>
      <w:tblPr>
        <w:tblW w:w="0" w:type="auto"/>
        <w:tblLook w:val="04A0"/>
      </w:tblPr>
      <w:tblGrid>
        <w:gridCol w:w="6470"/>
        <w:gridCol w:w="2772"/>
      </w:tblGrid>
      <w:tr w:rsidR="00CC59F4" w:rsidRPr="00ED7F50" w:rsidTr="00CC59F4">
        <w:tc>
          <w:tcPr>
            <w:tcW w:w="6470" w:type="dxa"/>
          </w:tcPr>
          <w:p w:rsidR="00CC59F4" w:rsidRPr="00ED7F50" w:rsidRDefault="00F17B4D" w:rsidP="00CC59F4">
            <w:pPr>
              <w:rPr>
                <w:noProof/>
              </w:rPr>
            </w:pPr>
            <w:r>
              <w:rPr>
                <w:noProof/>
              </w:rPr>
              <w:drawing>
                <wp:inline distT="0" distB="0" distL="0" distR="0">
                  <wp:extent cx="3924935" cy="3209290"/>
                  <wp:effectExtent l="19050" t="0" r="0" b="0"/>
                  <wp:docPr id="4" name="Picture 4" descr="Map showing rainfall percentiles for May 2012. Data provided by the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showing rainfall percentiles for May 2012. Data provided by the Bureau of Meteorology."/>
                          <pic:cNvPicPr>
                            <a:picLocks noChangeAspect="1" noChangeArrowheads="1"/>
                          </pic:cNvPicPr>
                        </pic:nvPicPr>
                        <pic:blipFill>
                          <a:blip r:embed="rId15" cstate="print"/>
                          <a:srcRect/>
                          <a:stretch>
                            <a:fillRect/>
                          </a:stretch>
                        </pic:blipFill>
                        <pic:spPr bwMode="auto">
                          <a:xfrm>
                            <a:off x="0" y="0"/>
                            <a:ext cx="3924935" cy="3209290"/>
                          </a:xfrm>
                          <a:prstGeom prst="rect">
                            <a:avLst/>
                          </a:prstGeom>
                          <a:noFill/>
                          <a:ln w="9525">
                            <a:noFill/>
                            <a:miter lim="800000"/>
                            <a:headEnd/>
                            <a:tailEnd/>
                          </a:ln>
                        </pic:spPr>
                      </pic:pic>
                    </a:graphicData>
                  </a:graphic>
                </wp:inline>
              </w:drawing>
            </w:r>
          </w:p>
        </w:tc>
        <w:tc>
          <w:tcPr>
            <w:tcW w:w="2772" w:type="dxa"/>
            <w:vAlign w:val="center"/>
          </w:tcPr>
          <w:p w:rsidR="00CC59F4" w:rsidRPr="00ED7F50" w:rsidRDefault="00F17B4D" w:rsidP="00625D8E">
            <w:pPr>
              <w:rPr>
                <w:noProof/>
              </w:rPr>
            </w:pPr>
            <w:r>
              <w:rPr>
                <w:noProof/>
              </w:rPr>
              <w:drawing>
                <wp:inline distT="0" distB="0" distL="0" distR="0">
                  <wp:extent cx="1561465" cy="1802765"/>
                  <wp:effectExtent l="19050" t="0" r="635" b="0"/>
                  <wp:docPr id="5" name="Picture 10" descr="K:\ec\reference_data\legend_images\rainfall_percentiles_legend_WEEK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ec\reference_data\legend_images\rainfall_percentiles_legend_WEEKLY.PNG"/>
                          <pic:cNvPicPr>
                            <a:picLocks noChangeAspect="1" noChangeArrowheads="1"/>
                          </pic:cNvPicPr>
                        </pic:nvPicPr>
                        <pic:blipFill>
                          <a:blip r:embed="rId16" cstate="print"/>
                          <a:srcRect/>
                          <a:stretch>
                            <a:fillRect/>
                          </a:stretch>
                        </pic:blipFill>
                        <pic:spPr bwMode="auto">
                          <a:xfrm>
                            <a:off x="0" y="0"/>
                            <a:ext cx="1561465" cy="1802765"/>
                          </a:xfrm>
                          <a:prstGeom prst="rect">
                            <a:avLst/>
                          </a:prstGeom>
                          <a:noFill/>
                          <a:ln w="9525">
                            <a:noFill/>
                            <a:miter lim="800000"/>
                            <a:headEnd/>
                            <a:tailEnd/>
                          </a:ln>
                        </pic:spPr>
                      </pic:pic>
                    </a:graphicData>
                  </a:graphic>
                </wp:inline>
              </w:drawing>
            </w:r>
          </w:p>
        </w:tc>
      </w:tr>
    </w:tbl>
    <w:p w:rsidR="00CC59F4" w:rsidRDefault="00CC59F4" w:rsidP="00CC59F4">
      <w:pPr>
        <w:pStyle w:val="Heading3"/>
        <w:numPr>
          <w:ilvl w:val="1"/>
          <w:numId w:val="4"/>
        </w:numPr>
        <w:spacing w:before="0" w:line="276" w:lineRule="auto"/>
        <w:ind w:left="709" w:hanging="709"/>
        <w:rPr>
          <w:rFonts w:cs="Arial"/>
          <w:color w:val="auto"/>
          <w:sz w:val="28"/>
          <w:szCs w:val="28"/>
        </w:rPr>
      </w:pPr>
      <w:r>
        <w:rPr>
          <w:rFonts w:cs="Arial"/>
          <w:color w:val="auto"/>
          <w:sz w:val="28"/>
          <w:szCs w:val="28"/>
        </w:rPr>
        <w:t>Autumn 20</w:t>
      </w:r>
      <w:r w:rsidRPr="00CC59F4">
        <w:rPr>
          <w:rFonts w:cs="Arial"/>
          <w:color w:val="auto"/>
          <w:sz w:val="28"/>
          <w:szCs w:val="28"/>
        </w:rPr>
        <w:t>12 rainfall</w:t>
      </w:r>
    </w:p>
    <w:p w:rsidR="00625D8E" w:rsidRDefault="00CC59F4" w:rsidP="00625D8E">
      <w:pPr>
        <w:jc w:val="center"/>
        <w:rPr>
          <w:rFonts w:ascii="Calibri" w:hAnsi="Calibri" w:cs="Arial"/>
          <w:b/>
        </w:rPr>
      </w:pPr>
      <w:r w:rsidRPr="00625D8E">
        <w:rPr>
          <w:rFonts w:ascii="Calibri" w:hAnsi="Calibri" w:cs="Arial"/>
          <w:b/>
        </w:rPr>
        <w:t>Rainfall percentiles for autumn 2012</w:t>
      </w:r>
    </w:p>
    <w:tbl>
      <w:tblPr>
        <w:tblW w:w="0" w:type="auto"/>
        <w:tblLook w:val="04A0"/>
      </w:tblPr>
      <w:tblGrid>
        <w:gridCol w:w="6470"/>
        <w:gridCol w:w="2772"/>
      </w:tblGrid>
      <w:tr w:rsidR="00CC59F4" w:rsidRPr="008C5D00" w:rsidTr="00CC59F4">
        <w:tc>
          <w:tcPr>
            <w:tcW w:w="6470" w:type="dxa"/>
          </w:tcPr>
          <w:p w:rsidR="00CC59F4" w:rsidRPr="008C5D00" w:rsidRDefault="00F17B4D" w:rsidP="00625D8E">
            <w:pPr>
              <w:rPr>
                <w:noProof/>
              </w:rPr>
            </w:pPr>
            <w:r>
              <w:rPr>
                <w:noProof/>
              </w:rPr>
              <w:drawing>
                <wp:inline distT="0" distB="0" distL="0" distR="0">
                  <wp:extent cx="3890645" cy="3174365"/>
                  <wp:effectExtent l="19050" t="0" r="0" b="0"/>
                  <wp:docPr id="6" name="Picture 6" descr="Map showing rainfall percentiles for Autumn 2012. Data provided by the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showing rainfall percentiles for Autumn 2012. Data provided by the Bureau of Meteorology."/>
                          <pic:cNvPicPr>
                            <a:picLocks noChangeAspect="1" noChangeArrowheads="1"/>
                          </pic:cNvPicPr>
                        </pic:nvPicPr>
                        <pic:blipFill>
                          <a:blip r:embed="rId17" cstate="print"/>
                          <a:srcRect/>
                          <a:stretch>
                            <a:fillRect/>
                          </a:stretch>
                        </pic:blipFill>
                        <pic:spPr bwMode="auto">
                          <a:xfrm>
                            <a:off x="0" y="0"/>
                            <a:ext cx="3890645" cy="3174365"/>
                          </a:xfrm>
                          <a:prstGeom prst="rect">
                            <a:avLst/>
                          </a:prstGeom>
                          <a:noFill/>
                          <a:ln w="9525">
                            <a:noFill/>
                            <a:miter lim="800000"/>
                            <a:headEnd/>
                            <a:tailEnd/>
                          </a:ln>
                        </pic:spPr>
                      </pic:pic>
                    </a:graphicData>
                  </a:graphic>
                </wp:inline>
              </w:drawing>
            </w:r>
          </w:p>
        </w:tc>
        <w:tc>
          <w:tcPr>
            <w:tcW w:w="2772" w:type="dxa"/>
            <w:vAlign w:val="center"/>
          </w:tcPr>
          <w:p w:rsidR="00CC59F4" w:rsidRPr="008C5D00" w:rsidRDefault="00F17B4D" w:rsidP="00CC59F4">
            <w:pPr>
              <w:jc w:val="center"/>
              <w:rPr>
                <w:noProof/>
              </w:rPr>
            </w:pPr>
            <w:r>
              <w:rPr>
                <w:noProof/>
              </w:rPr>
              <w:drawing>
                <wp:inline distT="0" distB="0" distL="0" distR="0">
                  <wp:extent cx="1561465" cy="1802765"/>
                  <wp:effectExtent l="19050" t="0" r="635" b="0"/>
                  <wp:docPr id="7" name="Picture 10" descr="K:\ec\reference_data\legend_images\rainfall_percentiles_legend_WEEK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ec\reference_data\legend_images\rainfall_percentiles_legend_WEEKLY.PNG"/>
                          <pic:cNvPicPr>
                            <a:picLocks noChangeAspect="1" noChangeArrowheads="1"/>
                          </pic:cNvPicPr>
                        </pic:nvPicPr>
                        <pic:blipFill>
                          <a:blip r:embed="rId16" cstate="print"/>
                          <a:srcRect/>
                          <a:stretch>
                            <a:fillRect/>
                          </a:stretch>
                        </pic:blipFill>
                        <pic:spPr bwMode="auto">
                          <a:xfrm>
                            <a:off x="0" y="0"/>
                            <a:ext cx="1561465" cy="1802765"/>
                          </a:xfrm>
                          <a:prstGeom prst="rect">
                            <a:avLst/>
                          </a:prstGeom>
                          <a:noFill/>
                          <a:ln w="9525">
                            <a:noFill/>
                            <a:miter lim="800000"/>
                            <a:headEnd/>
                            <a:tailEnd/>
                          </a:ln>
                        </pic:spPr>
                      </pic:pic>
                    </a:graphicData>
                  </a:graphic>
                </wp:inline>
              </w:drawing>
            </w:r>
          </w:p>
        </w:tc>
      </w:tr>
      <w:tr w:rsidR="00CC59F4" w:rsidRPr="008C5D00" w:rsidTr="00CC59F4">
        <w:tc>
          <w:tcPr>
            <w:tcW w:w="6470" w:type="dxa"/>
          </w:tcPr>
          <w:p w:rsidR="00CC59F4" w:rsidRPr="008C5D00" w:rsidRDefault="00CC59F4" w:rsidP="00CC59F4">
            <w:pPr>
              <w:rPr>
                <w:noProof/>
              </w:rPr>
            </w:pPr>
          </w:p>
        </w:tc>
        <w:tc>
          <w:tcPr>
            <w:tcW w:w="2772" w:type="dxa"/>
            <w:vAlign w:val="center"/>
          </w:tcPr>
          <w:p w:rsidR="00CC59F4" w:rsidRPr="008C5D00" w:rsidRDefault="00CC59F4" w:rsidP="00CC59F4">
            <w:pPr>
              <w:jc w:val="center"/>
              <w:rPr>
                <w:noProof/>
              </w:rPr>
            </w:pPr>
          </w:p>
        </w:tc>
      </w:tr>
    </w:tbl>
    <w:p w:rsidR="00CC59F4" w:rsidRPr="00CC59F4" w:rsidRDefault="00CC59F4" w:rsidP="00CC59F4">
      <w:pPr>
        <w:pStyle w:val="Heading3"/>
        <w:numPr>
          <w:ilvl w:val="1"/>
          <w:numId w:val="4"/>
        </w:numPr>
        <w:spacing w:before="0" w:line="276" w:lineRule="auto"/>
        <w:ind w:left="709" w:hanging="709"/>
        <w:rPr>
          <w:rFonts w:cs="Arial"/>
          <w:color w:val="auto"/>
          <w:sz w:val="28"/>
          <w:szCs w:val="28"/>
        </w:rPr>
      </w:pPr>
      <w:r>
        <w:rPr>
          <w:rFonts w:cs="Arial"/>
          <w:color w:val="DE3831"/>
          <w:sz w:val="28"/>
          <w:szCs w:val="28"/>
        </w:rPr>
        <w:br w:type="page"/>
      </w:r>
      <w:r>
        <w:rPr>
          <w:rFonts w:cs="Arial"/>
          <w:color w:val="auto"/>
          <w:sz w:val="28"/>
          <w:szCs w:val="28"/>
        </w:rPr>
        <w:lastRenderedPageBreak/>
        <w:t>May</w:t>
      </w:r>
      <w:r w:rsidRPr="00CC59F4">
        <w:rPr>
          <w:rFonts w:cs="Arial"/>
          <w:color w:val="auto"/>
          <w:sz w:val="28"/>
          <w:szCs w:val="28"/>
        </w:rPr>
        <w:t xml:space="preserve"> 2012 relative soil moisture </w:t>
      </w:r>
    </w:p>
    <w:p w:rsidR="00CC59F4" w:rsidRPr="00E228FD" w:rsidRDefault="00CC59F4" w:rsidP="00CC59F4">
      <w:pPr>
        <w:rPr>
          <w:rFonts w:ascii="Calibri" w:hAnsi="Calibri" w:cs="Arial"/>
          <w:sz w:val="20"/>
          <w:szCs w:val="20"/>
        </w:rPr>
      </w:pPr>
      <w:r w:rsidRPr="00E228FD">
        <w:rPr>
          <w:rFonts w:ascii="Calibri" w:hAnsi="Calibri" w:cs="Arial"/>
          <w:sz w:val="20"/>
          <w:szCs w:val="20"/>
        </w:rPr>
        <w:t xml:space="preserve">The maps show the relative levels of modelled upper (0 to ~0.2 metres) soil moisture and lower (~0.2 to ~1.5 metres) soil moisture at the end of </w:t>
      </w:r>
      <w:r w:rsidR="00E228FD" w:rsidRPr="00E228FD">
        <w:rPr>
          <w:rFonts w:ascii="Calibri" w:hAnsi="Calibri" w:cs="Arial"/>
          <w:sz w:val="20"/>
          <w:szCs w:val="20"/>
        </w:rPr>
        <w:t>May</w:t>
      </w:r>
      <w:r w:rsidRPr="00E228FD">
        <w:rPr>
          <w:rFonts w:ascii="Calibri" w:hAnsi="Calibri" w:cs="Arial"/>
          <w:sz w:val="20"/>
          <w:szCs w:val="20"/>
        </w:rPr>
        <w:t xml:space="preserve"> 2012. These maps show soil moisture estimates relative to the long-term average with respect to the reference period 1961 to 1990.</w:t>
      </w:r>
    </w:p>
    <w:p w:rsidR="00CC59F4" w:rsidRPr="00ED7F50" w:rsidRDefault="00CC59F4" w:rsidP="00CC59F4">
      <w:pPr>
        <w:pStyle w:val="Heading4"/>
        <w:jc w:val="center"/>
        <w:rPr>
          <w:rFonts w:ascii="Calibri" w:hAnsi="Calibri" w:cs="Arial"/>
          <w:i w:val="0"/>
          <w:color w:val="auto"/>
        </w:rPr>
      </w:pPr>
      <w:r w:rsidRPr="00ED7F50">
        <w:rPr>
          <w:rFonts w:ascii="Calibri" w:hAnsi="Calibri" w:cs="Arial"/>
          <w:i w:val="0"/>
          <w:color w:val="auto"/>
        </w:rPr>
        <w:t>Upper layer soil moisture</w:t>
      </w:r>
    </w:p>
    <w:tbl>
      <w:tblPr>
        <w:tblW w:w="0" w:type="auto"/>
        <w:tblLook w:val="04A0"/>
      </w:tblPr>
      <w:tblGrid>
        <w:gridCol w:w="6767"/>
        <w:gridCol w:w="2475"/>
      </w:tblGrid>
      <w:tr w:rsidR="00CC59F4" w:rsidRPr="00ED7F50" w:rsidTr="00CC59F4">
        <w:tc>
          <w:tcPr>
            <w:tcW w:w="4927" w:type="dxa"/>
          </w:tcPr>
          <w:p w:rsidR="00CC59F4" w:rsidRPr="00ED7F50" w:rsidRDefault="00F17B4D" w:rsidP="00CC59F4">
            <w:pPr>
              <w:rPr>
                <w:noProof/>
              </w:rPr>
            </w:pPr>
            <w:r>
              <w:rPr>
                <w:noProof/>
              </w:rPr>
              <w:drawing>
                <wp:inline distT="0" distB="0" distL="0" distR="0">
                  <wp:extent cx="4140835" cy="3373120"/>
                  <wp:effectExtent l="19050" t="0" r="0" b="0"/>
                  <wp:docPr id="8" name="Picture 8" descr="Map showing upper layer soil moisture May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 showing upper layer soil moisture May 2012"/>
                          <pic:cNvPicPr>
                            <a:picLocks noChangeAspect="1" noChangeArrowheads="1"/>
                          </pic:cNvPicPr>
                        </pic:nvPicPr>
                        <pic:blipFill>
                          <a:blip r:embed="rId18" cstate="print"/>
                          <a:srcRect/>
                          <a:stretch>
                            <a:fillRect/>
                          </a:stretch>
                        </pic:blipFill>
                        <pic:spPr bwMode="auto">
                          <a:xfrm>
                            <a:off x="0" y="0"/>
                            <a:ext cx="4140835" cy="3373120"/>
                          </a:xfrm>
                          <a:prstGeom prst="rect">
                            <a:avLst/>
                          </a:prstGeom>
                          <a:noFill/>
                          <a:ln w="9525">
                            <a:noFill/>
                            <a:miter lim="800000"/>
                            <a:headEnd/>
                            <a:tailEnd/>
                          </a:ln>
                        </pic:spPr>
                      </pic:pic>
                    </a:graphicData>
                  </a:graphic>
                </wp:inline>
              </w:drawing>
            </w:r>
          </w:p>
        </w:tc>
        <w:tc>
          <w:tcPr>
            <w:tcW w:w="4927" w:type="dxa"/>
            <w:vAlign w:val="center"/>
          </w:tcPr>
          <w:p w:rsidR="00CC59F4" w:rsidRPr="00ED7F50" w:rsidRDefault="00F17B4D" w:rsidP="00CC59F4">
            <w:pPr>
              <w:jc w:val="center"/>
              <w:rPr>
                <w:noProof/>
              </w:rPr>
            </w:pPr>
            <w:r>
              <w:rPr>
                <w:noProof/>
              </w:rPr>
              <w:drawing>
                <wp:inline distT="0" distB="0" distL="0" distR="0">
                  <wp:extent cx="1380490" cy="2338070"/>
                  <wp:effectExtent l="19050" t="0" r="0" b="0"/>
                  <wp:docPr id="9" name="Picture 6" descr="K:\ec\reference_data\legend_images\soil_moisture_legend_WEEK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c\reference_data\legend_images\soil_moisture_legend_WEEKLY.PNG"/>
                          <pic:cNvPicPr>
                            <a:picLocks noChangeAspect="1" noChangeArrowheads="1"/>
                          </pic:cNvPicPr>
                        </pic:nvPicPr>
                        <pic:blipFill>
                          <a:blip r:embed="rId19" cstate="print"/>
                          <a:srcRect/>
                          <a:stretch>
                            <a:fillRect/>
                          </a:stretch>
                        </pic:blipFill>
                        <pic:spPr bwMode="auto">
                          <a:xfrm>
                            <a:off x="0" y="0"/>
                            <a:ext cx="1380490" cy="2338070"/>
                          </a:xfrm>
                          <a:prstGeom prst="rect">
                            <a:avLst/>
                          </a:prstGeom>
                          <a:noFill/>
                          <a:ln w="9525">
                            <a:noFill/>
                            <a:miter lim="800000"/>
                            <a:headEnd/>
                            <a:tailEnd/>
                          </a:ln>
                        </pic:spPr>
                      </pic:pic>
                    </a:graphicData>
                  </a:graphic>
                </wp:inline>
              </w:drawing>
            </w:r>
          </w:p>
        </w:tc>
      </w:tr>
    </w:tbl>
    <w:p w:rsidR="00CC59F4" w:rsidRPr="00E228FD" w:rsidRDefault="00CC59F4" w:rsidP="00CC59F4">
      <w:pPr>
        <w:rPr>
          <w:rFonts w:ascii="Calibri" w:hAnsi="Calibri" w:cs="Arial"/>
          <w:sz w:val="20"/>
          <w:szCs w:val="20"/>
        </w:rPr>
      </w:pPr>
      <w:r w:rsidRPr="00E228FD">
        <w:rPr>
          <w:rFonts w:ascii="Calibri" w:hAnsi="Calibri" w:cs="Arial"/>
          <w:sz w:val="20"/>
          <w:szCs w:val="20"/>
        </w:rPr>
        <w:t>The bulk of plant roots occur in the top 0.3 metres of the soil profile and soil moisture in the upper layer of the soil profile (0.2 metres) is the most appropriate indication of the availability of water, particularly for germinating plants. The lower layer soil moisture is a larger, deeper store that is slower to respond to rainfall and tends to reflect accumulated events over seasonal and longer time scales.</w:t>
      </w:r>
    </w:p>
    <w:p w:rsidR="00CC59F4" w:rsidRPr="00ED7F50" w:rsidRDefault="00CC59F4" w:rsidP="00CC59F4">
      <w:pPr>
        <w:pStyle w:val="Heading4"/>
        <w:jc w:val="center"/>
        <w:rPr>
          <w:rFonts w:ascii="Calibri" w:hAnsi="Calibri" w:cs="Arial"/>
          <w:i w:val="0"/>
          <w:color w:val="auto"/>
        </w:rPr>
      </w:pPr>
      <w:r w:rsidRPr="00ED7F50">
        <w:rPr>
          <w:rFonts w:ascii="Calibri" w:hAnsi="Calibri" w:cs="Arial"/>
          <w:i w:val="0"/>
          <w:color w:val="auto"/>
        </w:rPr>
        <w:t>Lower layer soil moisture</w:t>
      </w:r>
    </w:p>
    <w:tbl>
      <w:tblPr>
        <w:tblW w:w="0" w:type="auto"/>
        <w:tblLook w:val="04A0"/>
      </w:tblPr>
      <w:tblGrid>
        <w:gridCol w:w="6767"/>
        <w:gridCol w:w="2475"/>
      </w:tblGrid>
      <w:tr w:rsidR="00CC59F4" w:rsidRPr="00ED7F50" w:rsidTr="00CC59F4">
        <w:trPr>
          <w:trHeight w:val="4844"/>
        </w:trPr>
        <w:tc>
          <w:tcPr>
            <w:tcW w:w="4927" w:type="dxa"/>
          </w:tcPr>
          <w:p w:rsidR="00CC59F4" w:rsidRPr="00ED7F50" w:rsidRDefault="00F17B4D" w:rsidP="00CC59F4">
            <w:pPr>
              <w:rPr>
                <w:noProof/>
              </w:rPr>
            </w:pPr>
            <w:r>
              <w:rPr>
                <w:noProof/>
              </w:rPr>
              <w:drawing>
                <wp:inline distT="0" distB="0" distL="0" distR="0">
                  <wp:extent cx="4140835" cy="3381375"/>
                  <wp:effectExtent l="19050" t="0" r="0" b="0"/>
                  <wp:docPr id="10" name="Picture 10" descr="Map showing lower layer soil moisture May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 showing lower layer soil moisture May 2012"/>
                          <pic:cNvPicPr>
                            <a:picLocks noChangeAspect="1" noChangeArrowheads="1"/>
                          </pic:cNvPicPr>
                        </pic:nvPicPr>
                        <pic:blipFill>
                          <a:blip r:embed="rId20" cstate="print"/>
                          <a:srcRect/>
                          <a:stretch>
                            <a:fillRect/>
                          </a:stretch>
                        </pic:blipFill>
                        <pic:spPr bwMode="auto">
                          <a:xfrm>
                            <a:off x="0" y="0"/>
                            <a:ext cx="4140835" cy="3381375"/>
                          </a:xfrm>
                          <a:prstGeom prst="rect">
                            <a:avLst/>
                          </a:prstGeom>
                          <a:noFill/>
                          <a:ln w="9525">
                            <a:noFill/>
                            <a:miter lim="800000"/>
                            <a:headEnd/>
                            <a:tailEnd/>
                          </a:ln>
                        </pic:spPr>
                      </pic:pic>
                    </a:graphicData>
                  </a:graphic>
                </wp:inline>
              </w:drawing>
            </w:r>
          </w:p>
        </w:tc>
        <w:tc>
          <w:tcPr>
            <w:tcW w:w="4927" w:type="dxa"/>
            <w:vAlign w:val="center"/>
          </w:tcPr>
          <w:p w:rsidR="00CC59F4" w:rsidRPr="00ED7F50" w:rsidRDefault="00F17B4D" w:rsidP="00CC59F4">
            <w:pPr>
              <w:jc w:val="center"/>
              <w:rPr>
                <w:noProof/>
              </w:rPr>
            </w:pPr>
            <w:r>
              <w:rPr>
                <w:noProof/>
              </w:rPr>
              <w:drawing>
                <wp:inline distT="0" distB="0" distL="0" distR="0">
                  <wp:extent cx="1380490" cy="2338070"/>
                  <wp:effectExtent l="19050" t="0" r="0" b="0"/>
                  <wp:docPr id="11" name="Picture 6" descr="K:\ec\reference_data\legend_images\soil_moisture_legend_WEEK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c\reference_data\legend_images\soil_moisture_legend_WEEKLY.PNG"/>
                          <pic:cNvPicPr>
                            <a:picLocks noChangeAspect="1" noChangeArrowheads="1"/>
                          </pic:cNvPicPr>
                        </pic:nvPicPr>
                        <pic:blipFill>
                          <a:blip r:embed="rId19" cstate="print"/>
                          <a:srcRect/>
                          <a:stretch>
                            <a:fillRect/>
                          </a:stretch>
                        </pic:blipFill>
                        <pic:spPr bwMode="auto">
                          <a:xfrm>
                            <a:off x="0" y="0"/>
                            <a:ext cx="1380490" cy="2338070"/>
                          </a:xfrm>
                          <a:prstGeom prst="rect">
                            <a:avLst/>
                          </a:prstGeom>
                          <a:noFill/>
                          <a:ln w="9525">
                            <a:noFill/>
                            <a:miter lim="800000"/>
                            <a:headEnd/>
                            <a:tailEnd/>
                          </a:ln>
                        </pic:spPr>
                      </pic:pic>
                    </a:graphicData>
                  </a:graphic>
                </wp:inline>
              </w:drawing>
            </w:r>
          </w:p>
        </w:tc>
      </w:tr>
    </w:tbl>
    <w:p w:rsidR="003C5ACC" w:rsidRPr="00674FB4" w:rsidRDefault="00B91946" w:rsidP="00E13B78">
      <w:pPr>
        <w:pStyle w:val="Heading3"/>
        <w:numPr>
          <w:ilvl w:val="1"/>
          <w:numId w:val="4"/>
        </w:numPr>
        <w:spacing w:line="276" w:lineRule="auto"/>
        <w:ind w:left="709" w:hanging="709"/>
        <w:rPr>
          <w:rFonts w:cs="Arial"/>
          <w:color w:val="auto"/>
          <w:sz w:val="28"/>
          <w:szCs w:val="28"/>
        </w:rPr>
      </w:pPr>
      <w:r w:rsidRPr="00674FB4">
        <w:rPr>
          <w:rFonts w:cs="Arial"/>
          <w:color w:val="auto"/>
          <w:sz w:val="28"/>
          <w:szCs w:val="28"/>
        </w:rPr>
        <w:lastRenderedPageBreak/>
        <w:t>Rainfall outlook</w:t>
      </w:r>
    </w:p>
    <w:p w:rsidR="003C5ACC" w:rsidRPr="009E0AEA" w:rsidRDefault="00B91946">
      <w:pPr>
        <w:rPr>
          <w:rFonts w:ascii="Calibri" w:hAnsi="Calibri" w:cs="Arial"/>
          <w:sz w:val="20"/>
          <w:szCs w:val="20"/>
        </w:rPr>
      </w:pPr>
      <w:r w:rsidRPr="009E0AEA">
        <w:rPr>
          <w:rFonts w:ascii="Calibri" w:hAnsi="Calibri" w:cs="Arial"/>
          <w:sz w:val="20"/>
          <w:szCs w:val="20"/>
        </w:rPr>
        <w:t>The rainfall forecast below is produced from computer models. As it contains no input from weather forecasters, it is important to also check local forecasts and warnings by the Bureau of Meteorology.</w:t>
      </w:r>
    </w:p>
    <w:p w:rsidR="003C5ACC" w:rsidRDefault="00B91946">
      <w:pPr>
        <w:pStyle w:val="Heading4"/>
        <w:jc w:val="center"/>
        <w:rPr>
          <w:rFonts w:ascii="Calibri" w:hAnsi="Calibri" w:cs="Arial"/>
          <w:i w:val="0"/>
          <w:color w:val="auto"/>
        </w:rPr>
      </w:pPr>
      <w:r w:rsidRPr="009E0AEA">
        <w:rPr>
          <w:rFonts w:ascii="Calibri" w:hAnsi="Calibri" w:cs="Arial"/>
          <w:i w:val="0"/>
          <w:color w:val="auto"/>
        </w:rPr>
        <w:t xml:space="preserve">Total forecast rainfall for the period </w:t>
      </w:r>
      <w:r w:rsidR="00CC59F4">
        <w:rPr>
          <w:rFonts w:ascii="Calibri" w:hAnsi="Calibri" w:cs="Arial"/>
          <w:i w:val="0"/>
          <w:color w:val="auto"/>
        </w:rPr>
        <w:t>7</w:t>
      </w:r>
      <w:r w:rsidR="009E0AEA" w:rsidRPr="009E0AEA">
        <w:rPr>
          <w:rFonts w:ascii="Calibri" w:hAnsi="Calibri" w:cs="Arial"/>
          <w:i w:val="0"/>
          <w:color w:val="auto"/>
        </w:rPr>
        <w:t xml:space="preserve"> </w:t>
      </w:r>
      <w:r w:rsidR="006A4EBC" w:rsidRPr="009E0AEA">
        <w:rPr>
          <w:rFonts w:ascii="Calibri" w:hAnsi="Calibri" w:cs="Arial"/>
          <w:i w:val="0"/>
          <w:color w:val="auto"/>
        </w:rPr>
        <w:t xml:space="preserve">to </w:t>
      </w:r>
      <w:r w:rsidR="00CC59F4">
        <w:rPr>
          <w:rFonts w:ascii="Calibri" w:hAnsi="Calibri" w:cs="Arial"/>
          <w:i w:val="0"/>
          <w:color w:val="auto"/>
        </w:rPr>
        <w:t>14</w:t>
      </w:r>
      <w:r w:rsidR="00BA492D" w:rsidRPr="009E0AEA">
        <w:rPr>
          <w:rFonts w:ascii="Calibri" w:hAnsi="Calibri" w:cs="Arial"/>
          <w:i w:val="0"/>
          <w:color w:val="auto"/>
        </w:rPr>
        <w:t xml:space="preserve"> </w:t>
      </w:r>
      <w:r w:rsidR="009E0AEA" w:rsidRPr="009E0AEA">
        <w:rPr>
          <w:rFonts w:ascii="Calibri" w:hAnsi="Calibri" w:cs="Arial"/>
          <w:i w:val="0"/>
          <w:color w:val="auto"/>
        </w:rPr>
        <w:t>June</w:t>
      </w:r>
      <w:r w:rsidRPr="009E0AEA">
        <w:rPr>
          <w:rFonts w:ascii="Calibri" w:hAnsi="Calibri" w:cs="Arial"/>
          <w:i w:val="0"/>
          <w:color w:val="auto"/>
        </w:rPr>
        <w:t xml:space="preserve"> 2012</w:t>
      </w:r>
    </w:p>
    <w:p w:rsidR="00CC59F4" w:rsidRPr="00CC59F4" w:rsidRDefault="00F17B4D" w:rsidP="00CC59F4">
      <w:pPr>
        <w:jc w:val="center"/>
      </w:pPr>
      <w:r>
        <w:rPr>
          <w:noProof/>
        </w:rPr>
        <w:drawing>
          <wp:inline distT="0" distB="0" distL="0" distR="0">
            <wp:extent cx="5210175" cy="3571240"/>
            <wp:effectExtent l="19050" t="19050" r="28575" b="10160"/>
            <wp:docPr id="12" name="Picture 12" descr="Map showing total forecast rainfall for the period 7 to 14 June 2012. Image provided by the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 showing total forecast rainfall for the period 7 to 14 June 2012. Image provided by the Bureau of Meteorology."/>
                    <pic:cNvPicPr>
                      <a:picLocks noChangeAspect="1" noChangeArrowheads="1"/>
                    </pic:cNvPicPr>
                  </pic:nvPicPr>
                  <pic:blipFill>
                    <a:blip r:embed="rId21" cstate="print"/>
                    <a:srcRect/>
                    <a:stretch>
                      <a:fillRect/>
                    </a:stretch>
                  </pic:blipFill>
                  <pic:spPr bwMode="auto">
                    <a:xfrm>
                      <a:off x="0" y="0"/>
                      <a:ext cx="5210175" cy="3571240"/>
                    </a:xfrm>
                    <a:prstGeom prst="rect">
                      <a:avLst/>
                    </a:prstGeom>
                    <a:noFill/>
                    <a:ln w="6350" cmpd="sng">
                      <a:solidFill>
                        <a:srgbClr val="000000"/>
                      </a:solidFill>
                      <a:miter lim="800000"/>
                      <a:headEnd/>
                      <a:tailEnd/>
                    </a:ln>
                    <a:effectLst/>
                  </pic:spPr>
                </pic:pic>
              </a:graphicData>
            </a:graphic>
          </wp:inline>
        </w:drawing>
      </w:r>
    </w:p>
    <w:p w:rsidR="00CC59F4" w:rsidRPr="00CC59F4" w:rsidRDefault="00CC59F4" w:rsidP="00CC59F4"/>
    <w:p w:rsidR="003C5ACC" w:rsidRPr="008C5D00" w:rsidRDefault="003C5ACC" w:rsidP="00990AD8">
      <w:pPr>
        <w:pStyle w:val="Heading2"/>
        <w:spacing w:before="0"/>
        <w:jc w:val="center"/>
        <w:rPr>
          <w:rFonts w:ascii="Calibri" w:hAnsi="Calibri" w:cs="Arial"/>
          <w:noProof/>
          <w:color w:val="auto"/>
          <w:sz w:val="18"/>
          <w:szCs w:val="18"/>
          <w:lang w:eastAsia="en-AU"/>
        </w:rPr>
      </w:pPr>
    </w:p>
    <w:p w:rsidR="00B925D9" w:rsidRPr="00674FB4" w:rsidRDefault="002C7652" w:rsidP="00205C8F">
      <w:pPr>
        <w:pStyle w:val="Heading2"/>
        <w:numPr>
          <w:ilvl w:val="0"/>
          <w:numId w:val="4"/>
        </w:numPr>
        <w:spacing w:before="0" w:after="0" w:line="276" w:lineRule="auto"/>
        <w:jc w:val="center"/>
        <w:rPr>
          <w:rFonts w:cs="Arial"/>
          <w:b/>
          <w:color w:val="auto"/>
          <w:szCs w:val="34"/>
        </w:rPr>
      </w:pPr>
      <w:r>
        <w:rPr>
          <w:color w:val="0070C0"/>
        </w:rPr>
        <w:br w:type="page"/>
      </w:r>
      <w:r w:rsidR="00B91946" w:rsidRPr="00674FB4">
        <w:rPr>
          <w:rFonts w:cs="Arial"/>
          <w:b/>
          <w:color w:val="auto"/>
          <w:szCs w:val="34"/>
        </w:rPr>
        <w:lastRenderedPageBreak/>
        <w:t>Water</w:t>
      </w:r>
    </w:p>
    <w:p w:rsidR="00BE4775" w:rsidRPr="00BE4775" w:rsidRDefault="00BE4775" w:rsidP="00BE4775">
      <w:pPr>
        <w:pStyle w:val="Heading3"/>
        <w:numPr>
          <w:ilvl w:val="1"/>
          <w:numId w:val="4"/>
        </w:numPr>
        <w:spacing w:line="276" w:lineRule="auto"/>
        <w:ind w:left="709" w:hanging="709"/>
        <w:rPr>
          <w:rFonts w:cs="Arial"/>
          <w:color w:val="auto"/>
          <w:sz w:val="28"/>
          <w:szCs w:val="28"/>
        </w:rPr>
      </w:pPr>
      <w:r w:rsidRPr="00BE4775">
        <w:rPr>
          <w:rFonts w:cs="Arial"/>
          <w:color w:val="auto"/>
          <w:sz w:val="28"/>
          <w:szCs w:val="28"/>
        </w:rPr>
        <w:t>Water availability</w:t>
      </w:r>
    </w:p>
    <w:p w:rsidR="00BE4775" w:rsidRPr="00BE4775" w:rsidRDefault="00BE4775" w:rsidP="00205C8F">
      <w:pPr>
        <w:pStyle w:val="ListBullet"/>
        <w:numPr>
          <w:ilvl w:val="0"/>
          <w:numId w:val="49"/>
        </w:numPr>
        <w:spacing w:before="100"/>
        <w:rPr>
          <w:rFonts w:ascii="Calibri" w:hAnsi="Calibri" w:cs="Arial"/>
          <w:szCs w:val="20"/>
        </w:rPr>
      </w:pPr>
      <w:r w:rsidRPr="00BE4775">
        <w:rPr>
          <w:rFonts w:ascii="Calibri" w:hAnsi="Calibri" w:cs="Arial"/>
          <w:szCs w:val="20"/>
        </w:rPr>
        <w:t>Water storage levels in the Murray–Darling Basin (MDB) increased this week by 177 </w:t>
      </w:r>
      <w:proofErr w:type="spellStart"/>
      <w:r w:rsidRPr="00BE4775">
        <w:rPr>
          <w:rFonts w:ascii="Calibri" w:hAnsi="Calibri" w:cs="Arial"/>
          <w:szCs w:val="20"/>
        </w:rPr>
        <w:t>gigalitres</w:t>
      </w:r>
      <w:proofErr w:type="spellEnd"/>
      <w:r w:rsidRPr="00BE4775">
        <w:rPr>
          <w:rFonts w:ascii="Calibri" w:hAnsi="Calibri" w:cs="Arial"/>
          <w:szCs w:val="20"/>
        </w:rPr>
        <w:t> (GL) and remained at approximately 90 per cent of total capacity. This is 7 percentage points or 1527 GL more</w:t>
      </w:r>
      <w:r>
        <w:rPr>
          <w:rFonts w:ascii="Calibri" w:hAnsi="Calibri" w:cs="Arial"/>
          <w:szCs w:val="20"/>
        </w:rPr>
        <w:t xml:space="preserve"> than this time last year, and 60 percentage points m</w:t>
      </w:r>
      <w:r w:rsidR="00C224DE">
        <w:rPr>
          <w:rFonts w:ascii="Calibri" w:hAnsi="Calibri" w:cs="Arial"/>
          <w:szCs w:val="20"/>
        </w:rPr>
        <w:t>ore than the same time in 2010.</w:t>
      </w:r>
    </w:p>
    <w:p w:rsidR="00205C8F" w:rsidRPr="00205C8F" w:rsidRDefault="00BE4775" w:rsidP="00205C8F">
      <w:pPr>
        <w:pStyle w:val="Heading3"/>
        <w:numPr>
          <w:ilvl w:val="1"/>
          <w:numId w:val="4"/>
        </w:numPr>
        <w:spacing w:line="276" w:lineRule="auto"/>
        <w:ind w:left="709" w:hanging="709"/>
        <w:rPr>
          <w:rFonts w:cs="Arial"/>
          <w:color w:val="auto"/>
          <w:sz w:val="28"/>
          <w:szCs w:val="28"/>
        </w:rPr>
      </w:pPr>
      <w:r w:rsidRPr="00BE4775">
        <w:rPr>
          <w:rFonts w:cs="Arial"/>
          <w:color w:val="auto"/>
          <w:sz w:val="28"/>
          <w:szCs w:val="28"/>
        </w:rPr>
        <w:t>Water storages</w:t>
      </w:r>
    </w:p>
    <w:p w:rsidR="00BE4775" w:rsidRPr="00BE4775" w:rsidRDefault="00BE4775" w:rsidP="00205C8F">
      <w:pPr>
        <w:pStyle w:val="Heading4"/>
        <w:spacing w:before="120" w:after="120"/>
        <w:rPr>
          <w:rFonts w:ascii="Calibri" w:hAnsi="Calibri" w:cs="Calibri"/>
          <w:b w:val="0"/>
          <w:i w:val="0"/>
          <w:color w:val="auto"/>
          <w:sz w:val="20"/>
          <w:szCs w:val="20"/>
        </w:rPr>
      </w:pPr>
      <w:r w:rsidRPr="00BE4775">
        <w:rPr>
          <w:rFonts w:ascii="Calibri" w:hAnsi="Calibri" w:cs="Calibri"/>
          <w:b w:val="0"/>
          <w:i w:val="0"/>
          <w:color w:val="auto"/>
          <w:sz w:val="20"/>
          <w:szCs w:val="20"/>
        </w:rPr>
        <w:t>Changes in regional water storage for May 2012 and the previous 12 months are summarised in the table and graphs below (current at 7 May 2012).</w:t>
      </w:r>
    </w:p>
    <w:tbl>
      <w:tblPr>
        <w:tblW w:w="9781" w:type="dxa"/>
        <w:tblLayout w:type="fixed"/>
        <w:tblCellMar>
          <w:left w:w="102" w:type="dxa"/>
          <w:right w:w="102" w:type="dxa"/>
        </w:tblCellMar>
        <w:tblLook w:val="01E0"/>
      </w:tblPr>
      <w:tblGrid>
        <w:gridCol w:w="2977"/>
        <w:gridCol w:w="1343"/>
        <w:gridCol w:w="1080"/>
        <w:gridCol w:w="1080"/>
        <w:gridCol w:w="1175"/>
        <w:gridCol w:w="1134"/>
        <w:gridCol w:w="992"/>
      </w:tblGrid>
      <w:tr w:rsidR="00BE4775" w:rsidRPr="001817BE" w:rsidTr="00C224DE">
        <w:tc>
          <w:tcPr>
            <w:tcW w:w="2977" w:type="dxa"/>
            <w:tcBorders>
              <w:top w:val="single" w:sz="4" w:space="0" w:color="auto"/>
              <w:left w:val="nil"/>
              <w:bottom w:val="single" w:sz="4" w:space="0" w:color="auto"/>
              <w:right w:val="nil"/>
              <w:tl2br w:val="nil"/>
              <w:tr2bl w:val="nil"/>
            </w:tcBorders>
            <w:tcMar>
              <w:left w:w="0" w:type="dxa"/>
              <w:right w:w="0" w:type="dxa"/>
            </w:tcMar>
            <w:vAlign w:val="center"/>
          </w:tcPr>
          <w:p w:rsidR="00BE4775" w:rsidRPr="00BE4775" w:rsidRDefault="00BE4775" w:rsidP="00C04642">
            <w:pPr>
              <w:rPr>
                <w:rFonts w:ascii="Calibri" w:hAnsi="Calibri" w:cs="Calibri"/>
                <w:b/>
                <w:sz w:val="22"/>
              </w:rPr>
            </w:pPr>
            <w:r w:rsidRPr="00BE4775">
              <w:rPr>
                <w:rFonts w:ascii="Calibri" w:hAnsi="Calibri" w:cs="Calibri"/>
                <w:b/>
                <w:bCs/>
                <w:sz w:val="22"/>
              </w:rPr>
              <w:t>Region</w:t>
            </w:r>
          </w:p>
        </w:tc>
        <w:tc>
          <w:tcPr>
            <w:tcW w:w="1343" w:type="dxa"/>
            <w:tcBorders>
              <w:top w:val="single" w:sz="4" w:space="0" w:color="auto"/>
              <w:left w:val="nil"/>
              <w:bottom w:val="single" w:sz="4" w:space="0" w:color="auto"/>
              <w:right w:val="nil"/>
              <w:tl2br w:val="nil"/>
              <w:tr2bl w:val="nil"/>
            </w:tcBorders>
            <w:vAlign w:val="center"/>
          </w:tcPr>
          <w:p w:rsidR="00BE4775" w:rsidRPr="00BE4775" w:rsidRDefault="00BE4775" w:rsidP="00C04642">
            <w:pPr>
              <w:jc w:val="center"/>
              <w:rPr>
                <w:rFonts w:ascii="Calibri" w:hAnsi="Calibri" w:cs="Calibri"/>
                <w:b/>
                <w:sz w:val="22"/>
              </w:rPr>
            </w:pPr>
            <w:r w:rsidRPr="00BE4775">
              <w:rPr>
                <w:rFonts w:ascii="Calibri" w:hAnsi="Calibri" w:cs="Calibri"/>
                <w:b/>
                <w:sz w:val="22"/>
              </w:rPr>
              <w:t>Total capacity</w:t>
            </w:r>
          </w:p>
          <w:p w:rsidR="00BE4775" w:rsidRPr="00BE4775" w:rsidRDefault="00BE4775" w:rsidP="00C04642">
            <w:pPr>
              <w:jc w:val="center"/>
              <w:rPr>
                <w:rFonts w:ascii="Calibri" w:hAnsi="Calibri" w:cs="Calibri"/>
                <w:b/>
                <w:sz w:val="22"/>
              </w:rPr>
            </w:pPr>
            <w:r w:rsidRPr="00BE4775">
              <w:rPr>
                <w:rFonts w:ascii="Calibri" w:hAnsi="Calibri" w:cs="Calibri"/>
                <w:b/>
                <w:sz w:val="22"/>
              </w:rPr>
              <w:t>(GL)</w:t>
            </w:r>
          </w:p>
        </w:tc>
        <w:tc>
          <w:tcPr>
            <w:tcW w:w="1080" w:type="dxa"/>
            <w:tcBorders>
              <w:top w:val="single" w:sz="4" w:space="0" w:color="auto"/>
              <w:left w:val="nil"/>
              <w:bottom w:val="single" w:sz="4" w:space="0" w:color="auto"/>
              <w:right w:val="nil"/>
              <w:tl2br w:val="nil"/>
              <w:tr2bl w:val="nil"/>
            </w:tcBorders>
            <w:vAlign w:val="center"/>
          </w:tcPr>
          <w:p w:rsidR="00BE4775" w:rsidRPr="00BE4775" w:rsidRDefault="00BE4775" w:rsidP="00C04642">
            <w:pPr>
              <w:jc w:val="center"/>
              <w:rPr>
                <w:rFonts w:ascii="Calibri" w:hAnsi="Calibri" w:cs="Calibri"/>
                <w:b/>
                <w:sz w:val="22"/>
              </w:rPr>
            </w:pPr>
            <w:r w:rsidRPr="00BE4775">
              <w:rPr>
                <w:rFonts w:ascii="Calibri" w:hAnsi="Calibri" w:cs="Calibri"/>
                <w:b/>
                <w:sz w:val="22"/>
              </w:rPr>
              <w:t>Current volume</w:t>
            </w:r>
          </w:p>
          <w:p w:rsidR="00BE4775" w:rsidRPr="00BE4775" w:rsidRDefault="00BE4775" w:rsidP="00C04642">
            <w:pPr>
              <w:jc w:val="center"/>
              <w:rPr>
                <w:rFonts w:ascii="Calibri" w:hAnsi="Calibri" w:cs="Calibri"/>
                <w:b/>
                <w:sz w:val="22"/>
              </w:rPr>
            </w:pPr>
            <w:r w:rsidRPr="00BE4775">
              <w:rPr>
                <w:rFonts w:ascii="Calibri" w:hAnsi="Calibri" w:cs="Calibri"/>
                <w:b/>
                <w:sz w:val="22"/>
              </w:rPr>
              <w:t>(GL)</w:t>
            </w:r>
          </w:p>
        </w:tc>
        <w:tc>
          <w:tcPr>
            <w:tcW w:w="1080" w:type="dxa"/>
            <w:tcBorders>
              <w:top w:val="single" w:sz="4" w:space="0" w:color="auto"/>
              <w:left w:val="nil"/>
              <w:bottom w:val="single" w:sz="4" w:space="0" w:color="auto"/>
              <w:right w:val="nil"/>
              <w:tl2br w:val="nil"/>
              <w:tr2bl w:val="nil"/>
            </w:tcBorders>
            <w:vAlign w:val="center"/>
          </w:tcPr>
          <w:p w:rsidR="00BE4775" w:rsidRPr="00BE4775" w:rsidRDefault="00BE4775" w:rsidP="00C04642">
            <w:pPr>
              <w:jc w:val="center"/>
              <w:rPr>
                <w:rFonts w:ascii="Calibri" w:hAnsi="Calibri" w:cs="Calibri"/>
                <w:b/>
                <w:sz w:val="22"/>
              </w:rPr>
            </w:pPr>
            <w:r w:rsidRPr="00BE4775">
              <w:rPr>
                <w:rFonts w:ascii="Calibri" w:hAnsi="Calibri" w:cs="Calibri"/>
                <w:b/>
                <w:sz w:val="22"/>
              </w:rPr>
              <w:t>Current volume</w:t>
            </w:r>
          </w:p>
          <w:p w:rsidR="00BE4775" w:rsidRPr="00BE4775" w:rsidRDefault="00BE4775" w:rsidP="00C04642">
            <w:pPr>
              <w:jc w:val="center"/>
              <w:rPr>
                <w:rFonts w:ascii="Calibri" w:hAnsi="Calibri" w:cs="Calibri"/>
                <w:b/>
                <w:sz w:val="22"/>
              </w:rPr>
            </w:pPr>
            <w:r w:rsidRPr="00BE4775">
              <w:rPr>
                <w:rFonts w:ascii="Calibri" w:hAnsi="Calibri" w:cs="Calibri"/>
                <w:b/>
                <w:sz w:val="22"/>
              </w:rPr>
              <w:t>(%)</w:t>
            </w:r>
          </w:p>
        </w:tc>
        <w:tc>
          <w:tcPr>
            <w:tcW w:w="1175" w:type="dxa"/>
            <w:tcBorders>
              <w:top w:val="single" w:sz="4" w:space="0" w:color="auto"/>
              <w:left w:val="nil"/>
              <w:bottom w:val="single" w:sz="4" w:space="0" w:color="auto"/>
              <w:right w:val="nil"/>
              <w:tl2br w:val="nil"/>
              <w:tr2bl w:val="nil"/>
            </w:tcBorders>
            <w:vAlign w:val="center"/>
          </w:tcPr>
          <w:p w:rsidR="00BE4775" w:rsidRPr="00BE4775" w:rsidRDefault="00BE4775" w:rsidP="00C04642">
            <w:pPr>
              <w:jc w:val="center"/>
              <w:rPr>
                <w:rFonts w:ascii="Calibri" w:hAnsi="Calibri" w:cs="Calibri"/>
                <w:b/>
                <w:sz w:val="22"/>
              </w:rPr>
            </w:pPr>
            <w:r w:rsidRPr="00BE4775">
              <w:rPr>
                <w:rFonts w:ascii="Calibri" w:hAnsi="Calibri" w:cs="Calibri"/>
                <w:b/>
                <w:sz w:val="22"/>
              </w:rPr>
              <w:t>Monthly change</w:t>
            </w:r>
          </w:p>
          <w:p w:rsidR="00BE4775" w:rsidRPr="00BE4775" w:rsidRDefault="00BE4775" w:rsidP="00C04642">
            <w:pPr>
              <w:jc w:val="center"/>
              <w:rPr>
                <w:rFonts w:ascii="Calibri" w:hAnsi="Calibri" w:cs="Calibri"/>
                <w:b/>
                <w:sz w:val="22"/>
              </w:rPr>
            </w:pPr>
            <w:r w:rsidRPr="00BE4775">
              <w:rPr>
                <w:rFonts w:ascii="Calibri" w:hAnsi="Calibri" w:cs="Calibri"/>
                <w:b/>
                <w:sz w:val="22"/>
              </w:rPr>
              <w:t>(GL)</w:t>
            </w:r>
          </w:p>
        </w:tc>
        <w:tc>
          <w:tcPr>
            <w:tcW w:w="1134" w:type="dxa"/>
            <w:tcBorders>
              <w:top w:val="single" w:sz="4" w:space="0" w:color="auto"/>
              <w:left w:val="nil"/>
              <w:bottom w:val="single" w:sz="4" w:space="0" w:color="auto"/>
              <w:right w:val="nil"/>
              <w:tl2br w:val="nil"/>
              <w:tr2bl w:val="nil"/>
            </w:tcBorders>
            <w:vAlign w:val="center"/>
          </w:tcPr>
          <w:p w:rsidR="00BE4775" w:rsidRPr="00BE4775" w:rsidRDefault="00BE4775" w:rsidP="00C04642">
            <w:pPr>
              <w:jc w:val="center"/>
              <w:rPr>
                <w:rFonts w:ascii="Calibri" w:hAnsi="Calibri" w:cs="Calibri"/>
                <w:b/>
                <w:sz w:val="22"/>
              </w:rPr>
            </w:pPr>
            <w:r w:rsidRPr="00BE4775">
              <w:rPr>
                <w:rFonts w:ascii="Calibri" w:hAnsi="Calibri" w:cs="Calibri"/>
                <w:b/>
                <w:sz w:val="22"/>
              </w:rPr>
              <w:t>Monthly change</w:t>
            </w:r>
          </w:p>
          <w:p w:rsidR="00BE4775" w:rsidRPr="00BE4775" w:rsidRDefault="00BE4775" w:rsidP="00C04642">
            <w:pPr>
              <w:jc w:val="center"/>
              <w:rPr>
                <w:rFonts w:ascii="Calibri" w:hAnsi="Calibri" w:cs="Calibri"/>
                <w:b/>
                <w:sz w:val="22"/>
              </w:rPr>
            </w:pPr>
            <w:r w:rsidRPr="00BE4775">
              <w:rPr>
                <w:rFonts w:ascii="Calibri" w:hAnsi="Calibri" w:cs="Calibri"/>
                <w:b/>
                <w:sz w:val="22"/>
              </w:rPr>
              <w:t>(%)</w:t>
            </w:r>
          </w:p>
        </w:tc>
        <w:tc>
          <w:tcPr>
            <w:tcW w:w="992" w:type="dxa"/>
            <w:tcBorders>
              <w:top w:val="single" w:sz="4" w:space="0" w:color="auto"/>
              <w:left w:val="nil"/>
              <w:bottom w:val="single" w:sz="4" w:space="0" w:color="auto"/>
              <w:right w:val="nil"/>
              <w:tl2br w:val="nil"/>
              <w:tr2bl w:val="nil"/>
            </w:tcBorders>
            <w:vAlign w:val="center"/>
          </w:tcPr>
          <w:p w:rsidR="00BE4775" w:rsidRPr="00BE4775" w:rsidRDefault="00BE4775" w:rsidP="00C04642">
            <w:pPr>
              <w:jc w:val="center"/>
              <w:rPr>
                <w:rFonts w:ascii="Calibri" w:hAnsi="Calibri" w:cs="Calibri"/>
                <w:b/>
                <w:sz w:val="22"/>
              </w:rPr>
            </w:pPr>
            <w:r w:rsidRPr="00BE4775">
              <w:rPr>
                <w:rFonts w:ascii="Calibri" w:hAnsi="Calibri" w:cs="Calibri"/>
                <w:b/>
                <w:sz w:val="22"/>
              </w:rPr>
              <w:t>Annual change</w:t>
            </w:r>
          </w:p>
          <w:p w:rsidR="00BE4775" w:rsidRPr="00BE4775" w:rsidRDefault="00BE4775" w:rsidP="00C04642">
            <w:pPr>
              <w:jc w:val="center"/>
              <w:rPr>
                <w:rFonts w:ascii="Calibri" w:hAnsi="Calibri" w:cs="Calibri"/>
                <w:b/>
                <w:sz w:val="22"/>
              </w:rPr>
            </w:pPr>
            <w:r w:rsidRPr="00BE4775">
              <w:rPr>
                <w:rFonts w:ascii="Calibri" w:hAnsi="Calibri" w:cs="Calibri"/>
                <w:b/>
                <w:sz w:val="22"/>
              </w:rPr>
              <w:t>(GL)</w:t>
            </w:r>
          </w:p>
        </w:tc>
      </w:tr>
      <w:tr w:rsidR="00BE4775" w:rsidRPr="001817BE" w:rsidTr="00C224DE">
        <w:tc>
          <w:tcPr>
            <w:tcW w:w="2977" w:type="dxa"/>
            <w:tcBorders>
              <w:top w:val="single" w:sz="4" w:space="0" w:color="auto"/>
              <w:left w:val="nil"/>
              <w:bottom w:val="nil"/>
              <w:right w:val="nil"/>
            </w:tcBorders>
            <w:tcMar>
              <w:left w:w="0" w:type="dxa"/>
              <w:right w:w="0" w:type="dxa"/>
            </w:tcMar>
            <w:vAlign w:val="center"/>
          </w:tcPr>
          <w:p w:rsidR="00BE4775" w:rsidRPr="00BE4775" w:rsidRDefault="00BE4775" w:rsidP="00C04642">
            <w:pPr>
              <w:rPr>
                <w:rFonts w:ascii="Calibri" w:hAnsi="Calibri" w:cs="Calibri"/>
                <w:b/>
                <w:sz w:val="22"/>
              </w:rPr>
            </w:pPr>
            <w:r w:rsidRPr="00BE4775">
              <w:rPr>
                <w:rFonts w:ascii="Calibri" w:hAnsi="Calibri" w:cs="Calibri"/>
                <w:b/>
                <w:sz w:val="22"/>
              </w:rPr>
              <w:t>Murray-Darling Basin (MDB)</w:t>
            </w:r>
          </w:p>
        </w:tc>
        <w:tc>
          <w:tcPr>
            <w:tcW w:w="1343" w:type="dxa"/>
            <w:tcBorders>
              <w:top w:val="single" w:sz="4" w:space="0" w:color="auto"/>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22557</w:t>
            </w:r>
          </w:p>
        </w:tc>
        <w:tc>
          <w:tcPr>
            <w:tcW w:w="1080" w:type="dxa"/>
            <w:tcBorders>
              <w:top w:val="single" w:sz="4" w:space="0" w:color="auto"/>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20366</w:t>
            </w:r>
          </w:p>
        </w:tc>
        <w:tc>
          <w:tcPr>
            <w:tcW w:w="1080" w:type="dxa"/>
            <w:tcBorders>
              <w:top w:val="single" w:sz="4" w:space="0" w:color="auto"/>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90</w:t>
            </w:r>
          </w:p>
        </w:tc>
        <w:tc>
          <w:tcPr>
            <w:tcW w:w="1175" w:type="dxa"/>
            <w:tcBorders>
              <w:top w:val="single" w:sz="4" w:space="0" w:color="auto"/>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+237</w:t>
            </w:r>
          </w:p>
        </w:tc>
        <w:tc>
          <w:tcPr>
            <w:tcW w:w="1134" w:type="dxa"/>
            <w:tcBorders>
              <w:top w:val="single" w:sz="4" w:space="0" w:color="auto"/>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+1</w:t>
            </w:r>
          </w:p>
        </w:tc>
        <w:tc>
          <w:tcPr>
            <w:tcW w:w="992" w:type="dxa"/>
            <w:tcBorders>
              <w:top w:val="single" w:sz="4" w:space="0" w:color="auto"/>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+1527</w:t>
            </w:r>
          </w:p>
        </w:tc>
      </w:tr>
      <w:tr w:rsidR="00BE4775" w:rsidRPr="001817BE" w:rsidTr="00C224DE">
        <w:tc>
          <w:tcPr>
            <w:tcW w:w="2977" w:type="dxa"/>
            <w:tcBorders>
              <w:top w:val="nil"/>
              <w:left w:val="nil"/>
              <w:bottom w:val="nil"/>
              <w:right w:val="nil"/>
            </w:tcBorders>
            <w:tcMar>
              <w:left w:w="0" w:type="dxa"/>
              <w:right w:w="0" w:type="dxa"/>
            </w:tcMar>
            <w:vAlign w:val="center"/>
          </w:tcPr>
          <w:p w:rsidR="00BE4775" w:rsidRPr="00BE4775" w:rsidRDefault="00BE4775" w:rsidP="00C04642">
            <w:pPr>
              <w:rPr>
                <w:rFonts w:ascii="Calibri" w:hAnsi="Calibri" w:cs="Calibri"/>
                <w:b/>
                <w:sz w:val="22"/>
              </w:rPr>
            </w:pPr>
            <w:r w:rsidRPr="00BE4775">
              <w:rPr>
                <w:rFonts w:ascii="Calibri" w:hAnsi="Calibri" w:cs="Calibri"/>
                <w:b/>
                <w:sz w:val="22"/>
              </w:rPr>
              <w:t>Snowy Scheme</w:t>
            </w:r>
          </w:p>
        </w:tc>
        <w:tc>
          <w:tcPr>
            <w:tcW w:w="1343"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5744</w:t>
            </w:r>
          </w:p>
        </w:tc>
        <w:tc>
          <w:tcPr>
            <w:tcW w:w="1080"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3587</w:t>
            </w:r>
          </w:p>
        </w:tc>
        <w:tc>
          <w:tcPr>
            <w:tcW w:w="1080"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62</w:t>
            </w:r>
          </w:p>
        </w:tc>
        <w:tc>
          <w:tcPr>
            <w:tcW w:w="1175"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-58</w:t>
            </w:r>
          </w:p>
        </w:tc>
        <w:tc>
          <w:tcPr>
            <w:tcW w:w="1134"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-1</w:t>
            </w:r>
          </w:p>
        </w:tc>
        <w:tc>
          <w:tcPr>
            <w:tcW w:w="992"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+1368</w:t>
            </w:r>
          </w:p>
        </w:tc>
      </w:tr>
      <w:tr w:rsidR="00BE4775" w:rsidRPr="001817BE" w:rsidTr="00C224DE">
        <w:tc>
          <w:tcPr>
            <w:tcW w:w="2977" w:type="dxa"/>
            <w:tcBorders>
              <w:top w:val="nil"/>
              <w:left w:val="nil"/>
              <w:bottom w:val="nil"/>
              <w:right w:val="nil"/>
            </w:tcBorders>
            <w:tcMar>
              <w:left w:w="0" w:type="dxa"/>
              <w:right w:w="0" w:type="dxa"/>
            </w:tcMar>
            <w:vAlign w:val="center"/>
          </w:tcPr>
          <w:p w:rsidR="00BE4775" w:rsidRPr="00BE4775" w:rsidRDefault="00BE4775" w:rsidP="00C224DE">
            <w:pPr>
              <w:rPr>
                <w:rFonts w:ascii="Calibri" w:hAnsi="Calibri" w:cs="Calibri"/>
                <w:b/>
                <w:sz w:val="22"/>
              </w:rPr>
            </w:pPr>
            <w:r w:rsidRPr="00BE4775">
              <w:rPr>
                <w:rFonts w:ascii="Calibri" w:hAnsi="Calibri" w:cs="Calibri"/>
                <w:b/>
                <w:sz w:val="22"/>
              </w:rPr>
              <w:t>Murray-Darling Basin Authority</w:t>
            </w:r>
            <w:r w:rsidR="00C224DE">
              <w:rPr>
                <w:rFonts w:ascii="Calibri" w:hAnsi="Calibri" w:cs="Calibri"/>
                <w:b/>
                <w:sz w:val="22"/>
              </w:rPr>
              <w:t xml:space="preserve"> </w:t>
            </w:r>
            <w:r w:rsidRPr="00BE4775">
              <w:rPr>
                <w:rFonts w:ascii="Calibri" w:hAnsi="Calibri" w:cs="Calibri"/>
                <w:b/>
                <w:sz w:val="22"/>
              </w:rPr>
              <w:t>(MDBA)</w:t>
            </w:r>
          </w:p>
        </w:tc>
        <w:tc>
          <w:tcPr>
            <w:tcW w:w="1343"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9352</w:t>
            </w:r>
          </w:p>
        </w:tc>
        <w:tc>
          <w:tcPr>
            <w:tcW w:w="1080"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8084</w:t>
            </w:r>
          </w:p>
        </w:tc>
        <w:tc>
          <w:tcPr>
            <w:tcW w:w="1080"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84</w:t>
            </w:r>
          </w:p>
        </w:tc>
        <w:tc>
          <w:tcPr>
            <w:tcW w:w="1175"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+245</w:t>
            </w:r>
          </w:p>
        </w:tc>
        <w:tc>
          <w:tcPr>
            <w:tcW w:w="1134"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+3</w:t>
            </w:r>
          </w:p>
        </w:tc>
        <w:tc>
          <w:tcPr>
            <w:tcW w:w="992"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+799</w:t>
            </w:r>
          </w:p>
        </w:tc>
      </w:tr>
      <w:tr w:rsidR="00BE4775" w:rsidRPr="00150B1D" w:rsidTr="00C224DE">
        <w:tc>
          <w:tcPr>
            <w:tcW w:w="2977" w:type="dxa"/>
            <w:tcBorders>
              <w:top w:val="nil"/>
              <w:left w:val="nil"/>
              <w:bottom w:val="nil"/>
              <w:right w:val="nil"/>
            </w:tcBorders>
            <w:tcMar>
              <w:left w:w="0" w:type="dxa"/>
              <w:right w:w="0" w:type="dxa"/>
            </w:tcMar>
            <w:vAlign w:val="center"/>
          </w:tcPr>
          <w:p w:rsidR="00BE4775" w:rsidRPr="00BE4775" w:rsidRDefault="00BE4775" w:rsidP="00C04642">
            <w:pPr>
              <w:rPr>
                <w:rFonts w:ascii="Calibri" w:hAnsi="Calibri" w:cs="Calibri"/>
                <w:b/>
                <w:sz w:val="22"/>
              </w:rPr>
            </w:pPr>
            <w:r w:rsidRPr="00BE4775">
              <w:rPr>
                <w:rFonts w:ascii="Calibri" w:hAnsi="Calibri" w:cs="Calibri"/>
                <w:b/>
                <w:sz w:val="22"/>
              </w:rPr>
              <w:t>Queensland MDB</w:t>
            </w:r>
          </w:p>
        </w:tc>
        <w:tc>
          <w:tcPr>
            <w:tcW w:w="1343"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186</w:t>
            </w:r>
          </w:p>
        </w:tc>
        <w:tc>
          <w:tcPr>
            <w:tcW w:w="1080"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165</w:t>
            </w:r>
          </w:p>
        </w:tc>
        <w:tc>
          <w:tcPr>
            <w:tcW w:w="1080"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89</w:t>
            </w:r>
          </w:p>
        </w:tc>
        <w:tc>
          <w:tcPr>
            <w:tcW w:w="1175"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-3</w:t>
            </w:r>
          </w:p>
        </w:tc>
        <w:tc>
          <w:tcPr>
            <w:tcW w:w="1134"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-2</w:t>
            </w:r>
          </w:p>
        </w:tc>
        <w:tc>
          <w:tcPr>
            <w:tcW w:w="992"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-16</w:t>
            </w:r>
          </w:p>
        </w:tc>
      </w:tr>
      <w:tr w:rsidR="00BE4775" w:rsidRPr="00150B1D" w:rsidTr="00C224DE">
        <w:tc>
          <w:tcPr>
            <w:tcW w:w="2977" w:type="dxa"/>
            <w:tcBorders>
              <w:top w:val="nil"/>
              <w:left w:val="nil"/>
              <w:bottom w:val="nil"/>
              <w:right w:val="nil"/>
            </w:tcBorders>
            <w:tcMar>
              <w:left w:w="0" w:type="dxa"/>
              <w:right w:w="0" w:type="dxa"/>
            </w:tcMar>
            <w:vAlign w:val="center"/>
          </w:tcPr>
          <w:p w:rsidR="00BE4775" w:rsidRPr="00BE4775" w:rsidRDefault="00BE4775" w:rsidP="00C04642">
            <w:pPr>
              <w:rPr>
                <w:rFonts w:ascii="Calibri" w:hAnsi="Calibri" w:cs="Calibri"/>
                <w:b/>
                <w:sz w:val="22"/>
              </w:rPr>
            </w:pPr>
            <w:r w:rsidRPr="00BE4775">
              <w:rPr>
                <w:rFonts w:ascii="Calibri" w:hAnsi="Calibri" w:cs="Calibri"/>
                <w:b/>
                <w:sz w:val="22"/>
              </w:rPr>
              <w:t>Central Queensland</w:t>
            </w:r>
          </w:p>
        </w:tc>
        <w:tc>
          <w:tcPr>
            <w:tcW w:w="1343"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3154</w:t>
            </w:r>
          </w:p>
        </w:tc>
        <w:tc>
          <w:tcPr>
            <w:tcW w:w="1080"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3138</w:t>
            </w:r>
          </w:p>
        </w:tc>
        <w:tc>
          <w:tcPr>
            <w:tcW w:w="1080"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100</w:t>
            </w:r>
          </w:p>
        </w:tc>
        <w:tc>
          <w:tcPr>
            <w:tcW w:w="1175"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+1</w:t>
            </w:r>
          </w:p>
        </w:tc>
        <w:tc>
          <w:tcPr>
            <w:tcW w:w="1134"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p>
        </w:tc>
        <w:tc>
          <w:tcPr>
            <w:tcW w:w="992"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-9</w:t>
            </w:r>
          </w:p>
        </w:tc>
      </w:tr>
      <w:tr w:rsidR="00BE4775" w:rsidRPr="00150B1D" w:rsidTr="00C224DE">
        <w:tc>
          <w:tcPr>
            <w:tcW w:w="2977" w:type="dxa"/>
            <w:tcBorders>
              <w:top w:val="nil"/>
              <w:left w:val="nil"/>
              <w:bottom w:val="nil"/>
              <w:right w:val="nil"/>
            </w:tcBorders>
            <w:tcMar>
              <w:left w:w="0" w:type="dxa"/>
              <w:right w:w="0" w:type="dxa"/>
            </w:tcMar>
            <w:vAlign w:val="center"/>
          </w:tcPr>
          <w:p w:rsidR="00BE4775" w:rsidRPr="00BE4775" w:rsidRDefault="00BE4775" w:rsidP="00C04642">
            <w:pPr>
              <w:rPr>
                <w:rFonts w:ascii="Calibri" w:hAnsi="Calibri" w:cs="Calibri"/>
                <w:b/>
                <w:sz w:val="22"/>
              </w:rPr>
            </w:pPr>
            <w:r w:rsidRPr="00BE4775">
              <w:rPr>
                <w:rFonts w:ascii="Calibri" w:hAnsi="Calibri" w:cs="Calibri"/>
                <w:b/>
                <w:sz w:val="22"/>
              </w:rPr>
              <w:t>South-east Queensland</w:t>
            </w:r>
          </w:p>
        </w:tc>
        <w:tc>
          <w:tcPr>
            <w:tcW w:w="1343"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3517</w:t>
            </w:r>
          </w:p>
        </w:tc>
        <w:tc>
          <w:tcPr>
            <w:tcW w:w="1080"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3440</w:t>
            </w:r>
          </w:p>
        </w:tc>
        <w:tc>
          <w:tcPr>
            <w:tcW w:w="1080"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98</w:t>
            </w:r>
          </w:p>
        </w:tc>
        <w:tc>
          <w:tcPr>
            <w:tcW w:w="1175"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-15</w:t>
            </w:r>
          </w:p>
        </w:tc>
        <w:tc>
          <w:tcPr>
            <w:tcW w:w="1134"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0</w:t>
            </w:r>
          </w:p>
        </w:tc>
        <w:tc>
          <w:tcPr>
            <w:tcW w:w="992"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-23</w:t>
            </w:r>
          </w:p>
        </w:tc>
      </w:tr>
      <w:tr w:rsidR="00BE4775" w:rsidRPr="001817BE" w:rsidTr="00C224DE">
        <w:tc>
          <w:tcPr>
            <w:tcW w:w="2977" w:type="dxa"/>
            <w:tcBorders>
              <w:top w:val="nil"/>
              <w:left w:val="nil"/>
              <w:bottom w:val="nil"/>
              <w:right w:val="nil"/>
            </w:tcBorders>
            <w:tcMar>
              <w:left w:w="0" w:type="dxa"/>
              <w:right w:w="0" w:type="dxa"/>
            </w:tcMar>
            <w:vAlign w:val="center"/>
          </w:tcPr>
          <w:p w:rsidR="00BE4775" w:rsidRPr="00BE4775" w:rsidRDefault="00BE4775" w:rsidP="00C04642">
            <w:pPr>
              <w:rPr>
                <w:rFonts w:ascii="Calibri" w:hAnsi="Calibri" w:cs="Calibri"/>
                <w:b/>
                <w:sz w:val="22"/>
              </w:rPr>
            </w:pPr>
            <w:r w:rsidRPr="00BE4775">
              <w:rPr>
                <w:rFonts w:ascii="Calibri" w:hAnsi="Calibri" w:cs="Calibri"/>
                <w:b/>
                <w:sz w:val="22"/>
              </w:rPr>
              <w:t>New South Wales MDB</w:t>
            </w:r>
          </w:p>
        </w:tc>
        <w:tc>
          <w:tcPr>
            <w:tcW w:w="1343"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13884</w:t>
            </w:r>
          </w:p>
        </w:tc>
        <w:tc>
          <w:tcPr>
            <w:tcW w:w="1080"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13004</w:t>
            </w:r>
          </w:p>
        </w:tc>
        <w:tc>
          <w:tcPr>
            <w:tcW w:w="1080"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94</w:t>
            </w:r>
          </w:p>
        </w:tc>
        <w:tc>
          <w:tcPr>
            <w:tcW w:w="1175"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+174</w:t>
            </w:r>
          </w:p>
        </w:tc>
        <w:tc>
          <w:tcPr>
            <w:tcW w:w="1134"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+1</w:t>
            </w:r>
          </w:p>
        </w:tc>
        <w:tc>
          <w:tcPr>
            <w:tcW w:w="992"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+1006</w:t>
            </w:r>
          </w:p>
        </w:tc>
      </w:tr>
      <w:tr w:rsidR="00BE4775" w:rsidRPr="001817BE" w:rsidTr="00C224DE">
        <w:tc>
          <w:tcPr>
            <w:tcW w:w="2977" w:type="dxa"/>
            <w:tcBorders>
              <w:top w:val="nil"/>
              <w:left w:val="nil"/>
              <w:bottom w:val="nil"/>
              <w:right w:val="nil"/>
            </w:tcBorders>
            <w:tcMar>
              <w:left w:w="0" w:type="dxa"/>
              <w:right w:w="0" w:type="dxa"/>
            </w:tcMar>
            <w:vAlign w:val="center"/>
          </w:tcPr>
          <w:p w:rsidR="00BE4775" w:rsidRPr="00BE4775" w:rsidRDefault="00BE4775" w:rsidP="00C04642">
            <w:pPr>
              <w:rPr>
                <w:rFonts w:ascii="Calibri" w:hAnsi="Calibri" w:cs="Calibri"/>
                <w:b/>
                <w:sz w:val="22"/>
              </w:rPr>
            </w:pPr>
            <w:r w:rsidRPr="00BE4775">
              <w:rPr>
                <w:rFonts w:ascii="Calibri" w:hAnsi="Calibri" w:cs="Calibri"/>
                <w:b/>
                <w:sz w:val="22"/>
              </w:rPr>
              <w:t>Coastal New South Wales</w:t>
            </w:r>
          </w:p>
        </w:tc>
        <w:tc>
          <w:tcPr>
            <w:tcW w:w="1343"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1074</w:t>
            </w:r>
          </w:p>
        </w:tc>
        <w:tc>
          <w:tcPr>
            <w:tcW w:w="1080"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1067</w:t>
            </w:r>
          </w:p>
        </w:tc>
        <w:tc>
          <w:tcPr>
            <w:tcW w:w="1080"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99</w:t>
            </w:r>
          </w:p>
        </w:tc>
        <w:tc>
          <w:tcPr>
            <w:tcW w:w="1175"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-1</w:t>
            </w:r>
          </w:p>
        </w:tc>
        <w:tc>
          <w:tcPr>
            <w:tcW w:w="1134"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0</w:t>
            </w:r>
          </w:p>
        </w:tc>
        <w:tc>
          <w:tcPr>
            <w:tcW w:w="992" w:type="dxa"/>
            <w:tcBorders>
              <w:top w:val="nil"/>
              <w:left w:val="nil"/>
              <w:bottom w:val="nil"/>
              <w:right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+171</w:t>
            </w:r>
          </w:p>
        </w:tc>
      </w:tr>
      <w:tr w:rsidR="00BE4775" w:rsidRPr="009F3125" w:rsidTr="00C224DE">
        <w:tc>
          <w:tcPr>
            <w:tcW w:w="2977" w:type="dxa"/>
            <w:tcBorders>
              <w:top w:val="nil"/>
              <w:left w:val="nil"/>
              <w:bottom w:val="nil"/>
              <w:right w:val="nil"/>
              <w:tl2br w:val="nil"/>
              <w:tr2bl w:val="nil"/>
            </w:tcBorders>
            <w:tcMar>
              <w:left w:w="0" w:type="dxa"/>
              <w:right w:w="0" w:type="dxa"/>
            </w:tcMar>
            <w:vAlign w:val="center"/>
          </w:tcPr>
          <w:p w:rsidR="00BE4775" w:rsidRPr="00BE4775" w:rsidRDefault="00BE4775" w:rsidP="00C04642">
            <w:pPr>
              <w:rPr>
                <w:rFonts w:ascii="Calibri" w:hAnsi="Calibri" w:cs="Calibri"/>
                <w:b/>
                <w:sz w:val="22"/>
              </w:rPr>
            </w:pPr>
            <w:r w:rsidRPr="00BE4775">
              <w:rPr>
                <w:rFonts w:ascii="Calibri" w:hAnsi="Calibri" w:cs="Calibri"/>
                <w:b/>
                <w:sz w:val="22"/>
              </w:rPr>
              <w:t>Victoria MDB</w:t>
            </w:r>
          </w:p>
        </w:tc>
        <w:tc>
          <w:tcPr>
            <w:tcW w:w="1343" w:type="dxa"/>
            <w:tcBorders>
              <w:top w:val="nil"/>
              <w:left w:val="nil"/>
              <w:bottom w:val="nil"/>
              <w:right w:val="nil"/>
              <w:tl2br w:val="nil"/>
              <w:tr2bl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8488</w:t>
            </w:r>
          </w:p>
        </w:tc>
        <w:tc>
          <w:tcPr>
            <w:tcW w:w="1080" w:type="dxa"/>
            <w:tcBorders>
              <w:top w:val="nil"/>
              <w:left w:val="nil"/>
              <w:bottom w:val="nil"/>
              <w:right w:val="nil"/>
              <w:tl2br w:val="nil"/>
              <w:tr2bl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7197</w:t>
            </w:r>
          </w:p>
        </w:tc>
        <w:tc>
          <w:tcPr>
            <w:tcW w:w="1080" w:type="dxa"/>
            <w:tcBorders>
              <w:top w:val="nil"/>
              <w:left w:val="nil"/>
              <w:bottom w:val="nil"/>
              <w:right w:val="nil"/>
              <w:tl2br w:val="nil"/>
              <w:tr2bl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85</w:t>
            </w:r>
          </w:p>
        </w:tc>
        <w:tc>
          <w:tcPr>
            <w:tcW w:w="1175" w:type="dxa"/>
            <w:tcBorders>
              <w:top w:val="nil"/>
              <w:left w:val="nil"/>
              <w:bottom w:val="nil"/>
              <w:right w:val="nil"/>
              <w:tl2br w:val="nil"/>
              <w:tr2bl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+65</w:t>
            </w:r>
          </w:p>
        </w:tc>
        <w:tc>
          <w:tcPr>
            <w:tcW w:w="1134" w:type="dxa"/>
            <w:tcBorders>
              <w:top w:val="nil"/>
              <w:left w:val="nil"/>
              <w:bottom w:val="nil"/>
              <w:right w:val="nil"/>
              <w:tl2br w:val="nil"/>
              <w:tr2bl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+1</w:t>
            </w:r>
          </w:p>
        </w:tc>
        <w:tc>
          <w:tcPr>
            <w:tcW w:w="992" w:type="dxa"/>
            <w:tcBorders>
              <w:top w:val="nil"/>
              <w:left w:val="nil"/>
              <w:bottom w:val="nil"/>
              <w:right w:val="nil"/>
              <w:tl2br w:val="nil"/>
              <w:tr2bl w:val="nil"/>
            </w:tcBorders>
            <w:vAlign w:val="center"/>
          </w:tcPr>
          <w:p w:rsidR="00BE4775" w:rsidRPr="00BE4775" w:rsidRDefault="00BE4775" w:rsidP="00C04642">
            <w:pPr>
              <w:jc w:val="center"/>
              <w:rPr>
                <w:rFonts w:ascii="Calibri" w:hAnsi="Calibri" w:cs="Calibri"/>
                <w:sz w:val="22"/>
              </w:rPr>
            </w:pPr>
            <w:r w:rsidRPr="00BE4775">
              <w:rPr>
                <w:rFonts w:ascii="Calibri" w:hAnsi="Calibri" w:cs="Calibri"/>
                <w:sz w:val="22"/>
              </w:rPr>
              <w:t>+912</w:t>
            </w:r>
          </w:p>
        </w:tc>
      </w:tr>
    </w:tbl>
    <w:p w:rsidR="00BE4775" w:rsidRPr="00C224DE" w:rsidRDefault="00BE4775" w:rsidP="00205C8F">
      <w:pPr>
        <w:keepNext/>
        <w:spacing w:before="240" w:after="120"/>
        <w:ind w:left="357"/>
        <w:jc w:val="center"/>
        <w:rPr>
          <w:rFonts w:ascii="Calibri" w:hAnsi="Calibri" w:cs="Calibri"/>
          <w:b/>
        </w:rPr>
      </w:pPr>
      <w:r w:rsidRPr="00C224DE">
        <w:rPr>
          <w:rFonts w:ascii="Calibri" w:hAnsi="Calibri" w:cs="Calibri"/>
          <w:b/>
        </w:rPr>
        <w:t>Water storages in Queensland, New South Wales and Victoria</w:t>
      </w:r>
    </w:p>
    <w:p w:rsidR="00BE4775" w:rsidRPr="000909DE" w:rsidRDefault="00F17B4D" w:rsidP="00BE4775">
      <w:pPr>
        <w:jc w:val="center"/>
        <w:rPr>
          <w:rFonts w:ascii="Arial" w:hAnsi="Arial" w:cs="Arial"/>
          <w:noProof/>
          <w:sz w:val="20"/>
          <w:szCs w:val="20"/>
        </w:rPr>
      </w:pPr>
      <w:r>
        <w:rPr>
          <w:rFonts w:ascii="Arial" w:hAnsi="Arial" w:cs="Arial"/>
          <w:noProof/>
          <w:sz w:val="20"/>
          <w:szCs w:val="20"/>
        </w:rPr>
        <w:drawing>
          <wp:inline distT="0" distB="0" distL="0" distR="0">
            <wp:extent cx="5029200" cy="3528060"/>
            <wp:effectExtent l="19050" t="19050" r="19050" b="15240"/>
            <wp:docPr id="13" name="Picture 25" descr="Image showing water storages in Queensland, New South Wales and Victoria. The blue line indicates the extent of the Murray-Darling Basin and the shaded areas denote the coverage of the individual reporting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showing water storages in Queensland, New South Wales and Victoria. The blue line indicates the extent of the Murray-Darling Basin and the shaded areas denote the coverage of the individual reporting regions."/>
                    <pic:cNvPicPr>
                      <a:picLocks noChangeAspect="1" noChangeArrowheads="1"/>
                    </pic:cNvPicPr>
                  </pic:nvPicPr>
                  <pic:blipFill>
                    <a:blip r:embed="rId22" cstate="print"/>
                    <a:srcRect/>
                    <a:stretch>
                      <a:fillRect/>
                    </a:stretch>
                  </pic:blipFill>
                  <pic:spPr bwMode="auto">
                    <a:xfrm>
                      <a:off x="0" y="0"/>
                      <a:ext cx="5029200" cy="3528060"/>
                    </a:xfrm>
                    <a:prstGeom prst="rect">
                      <a:avLst/>
                    </a:prstGeom>
                    <a:noFill/>
                    <a:ln w="9525" cmpd="sng">
                      <a:solidFill>
                        <a:srgbClr val="D9D9D9"/>
                      </a:solidFill>
                      <a:miter lim="800000"/>
                      <a:headEnd/>
                      <a:tailEnd/>
                    </a:ln>
                    <a:effectLst/>
                  </pic:spPr>
                </pic:pic>
              </a:graphicData>
            </a:graphic>
          </wp:inline>
        </w:drawing>
      </w:r>
    </w:p>
    <w:p w:rsidR="00BE4775" w:rsidRPr="00C224DE" w:rsidRDefault="00BE4775" w:rsidP="00BE4775">
      <w:pPr>
        <w:spacing w:before="120"/>
        <w:ind w:left="360"/>
        <w:rPr>
          <w:rFonts w:ascii="Calibri" w:hAnsi="Calibri" w:cs="Calibri"/>
          <w:sz w:val="20"/>
          <w:szCs w:val="20"/>
        </w:rPr>
      </w:pPr>
      <w:r w:rsidRPr="00C224DE">
        <w:rPr>
          <w:rFonts w:ascii="Calibri" w:hAnsi="Calibri" w:cs="Calibri"/>
          <w:sz w:val="20"/>
          <w:szCs w:val="20"/>
        </w:rPr>
        <w:t>The blue line indicates the extent of the Murray–Darling Basin and the shaded areas denote the coverage of the individual reporting regions.</w:t>
      </w:r>
    </w:p>
    <w:p w:rsidR="00BE4775" w:rsidRPr="00BE4775" w:rsidRDefault="00BE4775" w:rsidP="00BE4775">
      <w:pPr>
        <w:ind w:left="360"/>
        <w:rPr>
          <w:rFonts w:ascii="Arial" w:hAnsi="Arial" w:cs="Arial"/>
          <w:sz w:val="10"/>
          <w:szCs w:val="20"/>
        </w:rPr>
      </w:pPr>
    </w:p>
    <w:p w:rsidR="00BE4775" w:rsidRPr="00C224DE" w:rsidRDefault="00BE4775" w:rsidP="00BE4775">
      <w:pPr>
        <w:pStyle w:val="Heading4"/>
        <w:tabs>
          <w:tab w:val="left" w:pos="6096"/>
        </w:tabs>
        <w:ind w:left="360"/>
        <w:jc w:val="center"/>
        <w:rPr>
          <w:rFonts w:ascii="Calibri" w:hAnsi="Calibri" w:cs="Calibri"/>
          <w:b w:val="0"/>
          <w:i w:val="0"/>
          <w:noProof/>
          <w:color w:val="auto"/>
        </w:rPr>
      </w:pPr>
      <w:r w:rsidRPr="00C224DE">
        <w:rPr>
          <w:rFonts w:ascii="Calibri" w:hAnsi="Calibri" w:cs="Calibri"/>
          <w:i w:val="0"/>
          <w:color w:val="auto"/>
        </w:rPr>
        <w:lastRenderedPageBreak/>
        <w:t>Water storages in the Murray–Darling Basin (NSW, Victoria and Queensland)</w:t>
      </w:r>
    </w:p>
    <w:p w:rsidR="00BE4775" w:rsidRDefault="00F17B4D" w:rsidP="00BE4775">
      <w:pPr>
        <w:rPr>
          <w:rFonts w:ascii="Arial" w:hAnsi="Arial" w:cs="Arial"/>
          <w:sz w:val="20"/>
          <w:szCs w:val="20"/>
        </w:rPr>
      </w:pPr>
      <w:r>
        <w:rPr>
          <w:rFonts w:ascii="Arial" w:hAnsi="Arial" w:cs="Arial"/>
          <w:noProof/>
          <w:sz w:val="20"/>
          <w:szCs w:val="20"/>
        </w:rPr>
        <w:drawing>
          <wp:inline distT="0" distB="0" distL="0" distR="0">
            <wp:extent cx="5779770" cy="3528060"/>
            <wp:effectExtent l="19050" t="0" r="0" b="0"/>
            <wp:docPr id="14" name="Picture 1" descr="Line graph showing water storages in the Murray–Darling Basin (NSW, Victoria and Queensland). Water storage levels increased this week by 177 gigalitres remaining at approximately 90 per cent of total capacity. This is 7 percentage points or 1527 gigalitres more than this time la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ureauWide\Collaborative\_Projects\ClimateWaterAgUpdate\Water_Storage\MDB_20120607.png"/>
                    <pic:cNvPicPr>
                      <a:picLocks noChangeAspect="1" noChangeArrowheads="1"/>
                    </pic:cNvPicPr>
                  </pic:nvPicPr>
                  <pic:blipFill>
                    <a:blip r:embed="rId23" cstate="print"/>
                    <a:srcRect/>
                    <a:stretch>
                      <a:fillRect/>
                    </a:stretch>
                  </pic:blipFill>
                  <pic:spPr bwMode="auto">
                    <a:xfrm>
                      <a:off x="0" y="0"/>
                      <a:ext cx="5779770" cy="3528060"/>
                    </a:xfrm>
                    <a:prstGeom prst="rect">
                      <a:avLst/>
                    </a:prstGeom>
                    <a:noFill/>
                    <a:ln w="9525">
                      <a:noFill/>
                      <a:miter lim="800000"/>
                      <a:headEnd/>
                      <a:tailEnd/>
                    </a:ln>
                  </pic:spPr>
                </pic:pic>
              </a:graphicData>
            </a:graphic>
          </wp:inline>
        </w:drawing>
      </w:r>
    </w:p>
    <w:p w:rsidR="00BE4775" w:rsidRPr="00C224DE" w:rsidRDefault="00BE4775" w:rsidP="00BE4775">
      <w:pPr>
        <w:ind w:left="360"/>
        <w:rPr>
          <w:rFonts w:ascii="Calibri" w:hAnsi="Calibri" w:cs="Calibri"/>
          <w:sz w:val="20"/>
          <w:szCs w:val="20"/>
        </w:rPr>
      </w:pPr>
      <w:r w:rsidRPr="00C224DE">
        <w:rPr>
          <w:rFonts w:ascii="Calibri" w:hAnsi="Calibri" w:cs="Calibri"/>
          <w:sz w:val="20"/>
          <w:szCs w:val="20"/>
        </w:rPr>
        <w:t>Information on irrigation water available in the Murray–Darling Basin from 1 January 2001 to 7 June 2012 is shown above. The top horizontal (red) line indicates the storage level at the similar time last year. The bottom horizontal (orange) line indicates the amount of ‘dead’ or unusable storage.</w:t>
      </w:r>
    </w:p>
    <w:p w:rsidR="00205C8F" w:rsidRDefault="00BE4775" w:rsidP="00205C8F">
      <w:pPr>
        <w:pStyle w:val="Heading4"/>
        <w:spacing w:after="240"/>
        <w:ind w:left="357"/>
        <w:jc w:val="center"/>
        <w:rPr>
          <w:rFonts w:ascii="Calibri" w:hAnsi="Calibri" w:cs="Calibri"/>
          <w:i w:val="0"/>
          <w:color w:val="auto"/>
        </w:rPr>
      </w:pPr>
      <w:r w:rsidRPr="00C224DE">
        <w:rPr>
          <w:rFonts w:ascii="Calibri" w:hAnsi="Calibri" w:cs="Calibri"/>
          <w:i w:val="0"/>
          <w:color w:val="auto"/>
        </w:rPr>
        <w:t>Water storages in the Murray–Darling Basin by state (NSW, Victoria and Queensland)</w:t>
      </w:r>
    </w:p>
    <w:p w:rsidR="00BE4775" w:rsidRPr="00205C8F" w:rsidRDefault="00F17B4D" w:rsidP="00315D2D">
      <w:pPr>
        <w:pStyle w:val="Heading4"/>
        <w:spacing w:after="240"/>
        <w:rPr>
          <w:noProof/>
          <w:color w:val="auto"/>
        </w:rPr>
      </w:pPr>
      <w:r>
        <w:rPr>
          <w:noProof/>
        </w:rPr>
        <w:drawing>
          <wp:inline distT="0" distB="0" distL="0" distR="0">
            <wp:extent cx="5805805" cy="3528060"/>
            <wp:effectExtent l="19050" t="0" r="4445" b="0"/>
            <wp:docPr id="15" name="Picture 2" descr="Line graph showing water storages in the Murray–Darling Basin by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BureauWide\Collaborative\_Projects\ClimateWaterAgUpdate\Water_Storage\MDB_20120607_MONTHLY.png"/>
                    <pic:cNvPicPr>
                      <a:picLocks noChangeAspect="1" noChangeArrowheads="1"/>
                    </pic:cNvPicPr>
                  </pic:nvPicPr>
                  <pic:blipFill>
                    <a:blip r:embed="rId24" cstate="print"/>
                    <a:srcRect/>
                    <a:stretch>
                      <a:fillRect/>
                    </a:stretch>
                  </pic:blipFill>
                  <pic:spPr bwMode="auto">
                    <a:xfrm>
                      <a:off x="0" y="0"/>
                      <a:ext cx="5805805" cy="3528060"/>
                    </a:xfrm>
                    <a:prstGeom prst="rect">
                      <a:avLst/>
                    </a:prstGeom>
                    <a:noFill/>
                    <a:ln w="9525">
                      <a:noFill/>
                      <a:miter lim="800000"/>
                      <a:headEnd/>
                      <a:tailEnd/>
                    </a:ln>
                  </pic:spPr>
                </pic:pic>
              </a:graphicData>
            </a:graphic>
          </wp:inline>
        </w:drawing>
      </w:r>
    </w:p>
    <w:p w:rsidR="005D22E6" w:rsidRPr="00674FB4" w:rsidRDefault="007E3A44" w:rsidP="00205C8F">
      <w:pPr>
        <w:pStyle w:val="Heading2"/>
        <w:numPr>
          <w:ilvl w:val="0"/>
          <w:numId w:val="4"/>
        </w:numPr>
        <w:spacing w:before="0" w:after="0" w:line="276" w:lineRule="auto"/>
        <w:jc w:val="center"/>
        <w:rPr>
          <w:rFonts w:cs="Arial"/>
          <w:b/>
          <w:color w:val="auto"/>
          <w:szCs w:val="34"/>
        </w:rPr>
      </w:pPr>
      <w:r w:rsidRPr="00205C8F">
        <w:rPr>
          <w:rFonts w:cs="Arial"/>
          <w:b/>
          <w:color w:val="auto"/>
          <w:szCs w:val="34"/>
        </w:rPr>
        <w:br w:type="page"/>
      </w:r>
      <w:r w:rsidR="00763F5E" w:rsidRPr="00674FB4">
        <w:rPr>
          <w:rFonts w:cs="Arial"/>
          <w:b/>
          <w:color w:val="auto"/>
          <w:szCs w:val="34"/>
        </w:rPr>
        <w:lastRenderedPageBreak/>
        <w:t>Commodities</w:t>
      </w:r>
    </w:p>
    <w:p w:rsidR="003C5ACC" w:rsidRPr="00674FB4" w:rsidRDefault="00B91946" w:rsidP="002F3C41">
      <w:pPr>
        <w:pStyle w:val="Heading3"/>
        <w:numPr>
          <w:ilvl w:val="1"/>
          <w:numId w:val="4"/>
        </w:numPr>
        <w:spacing w:line="276" w:lineRule="auto"/>
        <w:ind w:left="709" w:hanging="709"/>
        <w:rPr>
          <w:rFonts w:cs="Arial"/>
          <w:color w:val="auto"/>
          <w:sz w:val="28"/>
          <w:szCs w:val="28"/>
        </w:rPr>
      </w:pPr>
      <w:r w:rsidRPr="00674FB4">
        <w:rPr>
          <w:rFonts w:cs="Arial"/>
          <w:color w:val="auto"/>
          <w:sz w:val="28"/>
          <w:szCs w:val="28"/>
        </w:rPr>
        <w:t>Production and commodities</w:t>
      </w:r>
    </w:p>
    <w:p w:rsidR="00E2494A" w:rsidRPr="00E2494A" w:rsidRDefault="00E2494A" w:rsidP="00E2494A">
      <w:pPr>
        <w:pStyle w:val="ListParagraph"/>
        <w:numPr>
          <w:ilvl w:val="0"/>
          <w:numId w:val="8"/>
        </w:numPr>
        <w:spacing w:before="120" w:after="120" w:line="240" w:lineRule="auto"/>
        <w:ind w:left="357" w:hanging="357"/>
        <w:contextualSpacing w:val="0"/>
        <w:rPr>
          <w:rFonts w:cs="Calibri"/>
          <w:sz w:val="20"/>
          <w:szCs w:val="20"/>
        </w:rPr>
      </w:pPr>
      <w:r w:rsidRPr="00E2494A">
        <w:rPr>
          <w:rFonts w:cs="Calibri"/>
          <w:sz w:val="20"/>
          <w:szCs w:val="20"/>
        </w:rPr>
        <w:t>The wholesale prices of fruit were lower in the week ending 2 June 2012 for pineapple (</w:t>
      </w:r>
      <w:proofErr w:type="spellStart"/>
      <w:r w:rsidRPr="00E2494A">
        <w:rPr>
          <w:rFonts w:cs="Calibri"/>
          <w:sz w:val="20"/>
          <w:szCs w:val="20"/>
        </w:rPr>
        <w:t>smoothleaf</w:t>
      </w:r>
      <w:proofErr w:type="spellEnd"/>
      <w:r w:rsidRPr="00E2494A">
        <w:rPr>
          <w:rFonts w:cs="Calibri"/>
          <w:sz w:val="20"/>
          <w:szCs w:val="20"/>
        </w:rPr>
        <w:t>), rockmelon, watermelon (seedless), banana (</w:t>
      </w:r>
      <w:proofErr w:type="spellStart"/>
      <w:proofErr w:type="gramStart"/>
      <w:r w:rsidRPr="00E2494A">
        <w:rPr>
          <w:rFonts w:cs="Calibri"/>
          <w:sz w:val="20"/>
          <w:szCs w:val="20"/>
        </w:rPr>
        <w:t>cavendish</w:t>
      </w:r>
      <w:proofErr w:type="spellEnd"/>
      <w:proofErr w:type="gramEnd"/>
      <w:r w:rsidRPr="00E2494A">
        <w:rPr>
          <w:rFonts w:cs="Calibri"/>
          <w:sz w:val="20"/>
          <w:szCs w:val="20"/>
        </w:rPr>
        <w:t>), and kiwifruit (Hayward). Wholesale prices for avocado (</w:t>
      </w:r>
      <w:proofErr w:type="spellStart"/>
      <w:r w:rsidRPr="00E2494A">
        <w:rPr>
          <w:rFonts w:cs="Calibri"/>
          <w:sz w:val="20"/>
          <w:szCs w:val="20"/>
        </w:rPr>
        <w:t>hass</w:t>
      </w:r>
      <w:proofErr w:type="spellEnd"/>
      <w:r w:rsidRPr="00E2494A">
        <w:rPr>
          <w:rFonts w:cs="Calibri"/>
          <w:sz w:val="20"/>
          <w:szCs w:val="20"/>
        </w:rPr>
        <w:t>), orange (navel) and apples (royal gala) were largely unchanged.</w:t>
      </w:r>
    </w:p>
    <w:p w:rsidR="00012296" w:rsidRDefault="00E2494A" w:rsidP="00E2494A">
      <w:pPr>
        <w:pStyle w:val="ListParagraph"/>
        <w:numPr>
          <w:ilvl w:val="0"/>
          <w:numId w:val="8"/>
        </w:numPr>
        <w:spacing w:before="120" w:after="120" w:line="240" w:lineRule="auto"/>
        <w:ind w:left="357" w:hanging="357"/>
        <w:contextualSpacing w:val="0"/>
        <w:rPr>
          <w:rFonts w:cs="Calibri"/>
          <w:sz w:val="20"/>
          <w:szCs w:val="20"/>
        </w:rPr>
      </w:pPr>
      <w:r w:rsidRPr="00E2494A">
        <w:rPr>
          <w:rFonts w:cs="Calibri"/>
          <w:sz w:val="20"/>
          <w:szCs w:val="20"/>
        </w:rPr>
        <w:t>The wholesale prices of tomatoes (field gourmet), broccoli and iceberg lettuce were higher in the week ending 2 June 2012 but lower for beans (round).</w:t>
      </w:r>
    </w:p>
    <w:p w:rsidR="00BE5873" w:rsidRPr="008C229A" w:rsidRDefault="00BE5873" w:rsidP="00BE5873">
      <w:pPr>
        <w:pStyle w:val="ListParagraph"/>
        <w:numPr>
          <w:ilvl w:val="0"/>
          <w:numId w:val="8"/>
        </w:numPr>
        <w:spacing w:before="120" w:after="120" w:line="240" w:lineRule="auto"/>
        <w:ind w:left="357" w:hanging="357"/>
        <w:contextualSpacing w:val="0"/>
        <w:rPr>
          <w:rFonts w:cs="Calibri"/>
          <w:sz w:val="20"/>
          <w:szCs w:val="20"/>
        </w:rPr>
      </w:pPr>
      <w:r w:rsidRPr="008C229A">
        <w:rPr>
          <w:rFonts w:cs="Calibri"/>
          <w:sz w:val="20"/>
          <w:szCs w:val="20"/>
        </w:rPr>
        <w:t xml:space="preserve">The world cotton indicator price (the </w:t>
      </w:r>
      <w:proofErr w:type="spellStart"/>
      <w:r w:rsidRPr="008C229A">
        <w:rPr>
          <w:rFonts w:cs="Calibri"/>
          <w:sz w:val="20"/>
          <w:szCs w:val="20"/>
        </w:rPr>
        <w:t>Cotlook</w:t>
      </w:r>
      <w:proofErr w:type="spellEnd"/>
      <w:r w:rsidRPr="008C229A">
        <w:rPr>
          <w:rFonts w:cs="Calibri"/>
          <w:sz w:val="20"/>
          <w:szCs w:val="20"/>
        </w:rPr>
        <w:t xml:space="preserve"> ‘A’ index) averaged US80.3 cents a pound in the week ending 6 June 2012, the lowest since the week ending</w:t>
      </w:r>
      <w:r w:rsidR="00D0702A">
        <w:rPr>
          <w:rFonts w:cs="Calibri"/>
          <w:sz w:val="20"/>
          <w:szCs w:val="20"/>
        </w:rPr>
        <w:t xml:space="preserve"> </w:t>
      </w:r>
      <w:r w:rsidRPr="008C229A">
        <w:rPr>
          <w:rFonts w:cs="Calibri"/>
          <w:sz w:val="20"/>
          <w:szCs w:val="20"/>
        </w:rPr>
        <w:t>10 February 2010 when the price was around US77 cents a pound.</w:t>
      </w:r>
    </w:p>
    <w:p w:rsidR="00BE5873" w:rsidRPr="008C229A" w:rsidRDefault="00BE5873" w:rsidP="00BE5873">
      <w:pPr>
        <w:pStyle w:val="ListParagraph"/>
        <w:numPr>
          <w:ilvl w:val="0"/>
          <w:numId w:val="8"/>
        </w:numPr>
        <w:spacing w:before="120" w:after="120" w:line="240" w:lineRule="auto"/>
        <w:ind w:left="357" w:hanging="357"/>
        <w:contextualSpacing w:val="0"/>
        <w:rPr>
          <w:rFonts w:cs="Calibri"/>
          <w:sz w:val="20"/>
          <w:szCs w:val="20"/>
        </w:rPr>
      </w:pPr>
      <w:r w:rsidRPr="008C229A">
        <w:rPr>
          <w:rFonts w:cs="Calibri"/>
          <w:sz w:val="20"/>
          <w:szCs w:val="20"/>
        </w:rPr>
        <w:t>The world sugar indicator price (Intercontinental Exchange, nearby futures, no. 11 contract) averaged US19.3 cents a pound in the week ending 6 June 2012, which was largely unchanged from the previous week.</w:t>
      </w:r>
    </w:p>
    <w:p w:rsidR="00B31EFD" w:rsidRPr="008C229A" w:rsidRDefault="00B31EFD" w:rsidP="00B31EFD">
      <w:pPr>
        <w:pStyle w:val="ListParagraph"/>
        <w:numPr>
          <w:ilvl w:val="0"/>
          <w:numId w:val="8"/>
        </w:numPr>
        <w:spacing w:before="120" w:after="120" w:line="240" w:lineRule="auto"/>
        <w:ind w:left="357" w:hanging="357"/>
        <w:contextualSpacing w:val="0"/>
        <w:rPr>
          <w:rFonts w:cs="Calibri"/>
          <w:sz w:val="20"/>
          <w:szCs w:val="20"/>
        </w:rPr>
      </w:pPr>
      <w:r w:rsidRPr="008C229A">
        <w:rPr>
          <w:rFonts w:cs="Calibri"/>
          <w:sz w:val="20"/>
          <w:szCs w:val="20"/>
        </w:rPr>
        <w:t>The world canola indicator price (Rapeseed, Europe, free on board Hamburg) averaged US$593 a tonne in the week ending 5 June 2012, compared with US$599 a tonne in the previous week and 15 per cent lower than the same time last year when the price was US$699 a tonne.</w:t>
      </w:r>
    </w:p>
    <w:p w:rsidR="00B31EFD" w:rsidRPr="008C229A" w:rsidRDefault="00B31EFD" w:rsidP="00B31EFD">
      <w:pPr>
        <w:pStyle w:val="ListParagraph"/>
        <w:numPr>
          <w:ilvl w:val="0"/>
          <w:numId w:val="8"/>
        </w:numPr>
        <w:spacing w:before="120" w:after="120" w:line="240" w:lineRule="auto"/>
        <w:ind w:left="357" w:hanging="357"/>
        <w:contextualSpacing w:val="0"/>
        <w:rPr>
          <w:rFonts w:cs="Calibri"/>
          <w:sz w:val="20"/>
          <w:szCs w:val="20"/>
        </w:rPr>
      </w:pPr>
      <w:r w:rsidRPr="008C229A">
        <w:rPr>
          <w:rFonts w:cs="Calibri"/>
          <w:sz w:val="20"/>
          <w:szCs w:val="20"/>
        </w:rPr>
        <w:t>The Australian canola indicator price (Portland, Victoria) averaged of $518 a tonne in the week ending 4 June 2012, which was unchanged from the previous week and 8 per cent lower than the same time last year when the price was $562 a tonne.</w:t>
      </w:r>
    </w:p>
    <w:p w:rsidR="00B31EFD" w:rsidRPr="008C229A" w:rsidRDefault="00B31EFD" w:rsidP="00B31EFD">
      <w:pPr>
        <w:pStyle w:val="ListParagraph"/>
        <w:numPr>
          <w:ilvl w:val="0"/>
          <w:numId w:val="8"/>
        </w:numPr>
        <w:spacing w:before="120" w:after="120" w:line="240" w:lineRule="auto"/>
        <w:ind w:left="357" w:hanging="357"/>
        <w:contextualSpacing w:val="0"/>
        <w:rPr>
          <w:rFonts w:cs="Calibri"/>
          <w:sz w:val="20"/>
          <w:szCs w:val="20"/>
        </w:rPr>
      </w:pPr>
      <w:r w:rsidRPr="008C229A">
        <w:rPr>
          <w:rFonts w:cs="Calibri"/>
          <w:sz w:val="20"/>
          <w:szCs w:val="20"/>
        </w:rPr>
        <w:t>The world coarse grains indicator price (US no. 2 yellow corn, free on board Gulf ports) averaged US$253 a tonne for the week ending 6 June 2012, largely unchanged from the previous week.</w:t>
      </w:r>
    </w:p>
    <w:p w:rsidR="008C229A" w:rsidRPr="008C229A" w:rsidRDefault="008C229A" w:rsidP="008C229A">
      <w:pPr>
        <w:pStyle w:val="ListParagraph"/>
        <w:numPr>
          <w:ilvl w:val="0"/>
          <w:numId w:val="8"/>
        </w:numPr>
        <w:spacing w:before="120" w:after="120" w:line="240" w:lineRule="auto"/>
        <w:ind w:left="357" w:hanging="357"/>
        <w:contextualSpacing w:val="0"/>
        <w:rPr>
          <w:rFonts w:cs="Calibri"/>
          <w:sz w:val="20"/>
          <w:szCs w:val="20"/>
        </w:rPr>
      </w:pPr>
      <w:r w:rsidRPr="008C229A">
        <w:rPr>
          <w:rFonts w:cs="Calibri"/>
          <w:sz w:val="20"/>
          <w:szCs w:val="20"/>
        </w:rPr>
        <w:t>The world indicator price of wheat (US no. 2 hard red winter, free on board Gulf ports) averaged US$279 a tonne in the week ending 29 May 2012, compared with US$29</w:t>
      </w:r>
      <w:r w:rsidR="00C224DE">
        <w:rPr>
          <w:rFonts w:cs="Calibri"/>
          <w:sz w:val="20"/>
          <w:szCs w:val="20"/>
        </w:rPr>
        <w:t>4 a tonne in the previous week.</w:t>
      </w:r>
    </w:p>
    <w:p w:rsidR="00B31EFD" w:rsidRPr="008C229A" w:rsidRDefault="00B31EFD" w:rsidP="00B31EFD">
      <w:pPr>
        <w:pStyle w:val="ListParagraph"/>
        <w:numPr>
          <w:ilvl w:val="0"/>
          <w:numId w:val="8"/>
        </w:numPr>
        <w:spacing w:before="120" w:after="120" w:line="240" w:lineRule="auto"/>
        <w:ind w:left="357" w:hanging="357"/>
        <w:contextualSpacing w:val="0"/>
        <w:rPr>
          <w:rFonts w:cs="Calibri"/>
          <w:sz w:val="20"/>
          <w:szCs w:val="20"/>
        </w:rPr>
      </w:pPr>
      <w:r w:rsidRPr="008C229A">
        <w:rPr>
          <w:rFonts w:cs="Calibri"/>
          <w:sz w:val="20"/>
          <w:szCs w:val="20"/>
        </w:rPr>
        <w:t xml:space="preserve">The Queensland young cattle indicator price (330–400 kg live weight C3) rose 11 cents in the week ending 1 June 2012 to 372 cents a kilogram. Young cattle prices also rose in New South Wales, </w:t>
      </w:r>
      <w:r w:rsidR="00C224DE">
        <w:rPr>
          <w:rFonts w:cs="Calibri"/>
          <w:sz w:val="20"/>
          <w:szCs w:val="20"/>
        </w:rPr>
        <w:t>Victoria and Western Australia.</w:t>
      </w:r>
    </w:p>
    <w:p w:rsidR="00B31EFD" w:rsidRPr="00BE5873" w:rsidRDefault="00B31EFD" w:rsidP="00B31EFD">
      <w:pPr>
        <w:pStyle w:val="ListParagraph"/>
        <w:numPr>
          <w:ilvl w:val="0"/>
          <w:numId w:val="8"/>
        </w:numPr>
        <w:spacing w:before="120" w:after="120" w:line="240" w:lineRule="auto"/>
        <w:ind w:left="357" w:hanging="357"/>
        <w:contextualSpacing w:val="0"/>
        <w:rPr>
          <w:rFonts w:cs="Calibri"/>
          <w:sz w:val="20"/>
          <w:szCs w:val="20"/>
        </w:rPr>
      </w:pPr>
      <w:r w:rsidRPr="00BE5873">
        <w:rPr>
          <w:rFonts w:cs="Calibri"/>
          <w:sz w:val="20"/>
          <w:szCs w:val="20"/>
        </w:rPr>
        <w:t>Saleyard prices of lamb declined in most states in the week ending 1 June 2012. The indicator price for lamb (18-22 kg fat score 2-4) fell 4 per cent</w:t>
      </w:r>
      <w:r w:rsidR="001E66CE">
        <w:rPr>
          <w:rFonts w:cs="Calibri"/>
          <w:sz w:val="20"/>
          <w:szCs w:val="20"/>
        </w:rPr>
        <w:t xml:space="preserve"> </w:t>
      </w:r>
      <w:r w:rsidR="001E66CE" w:rsidRPr="00BE5873">
        <w:rPr>
          <w:rFonts w:cs="Calibri"/>
          <w:sz w:val="20"/>
          <w:szCs w:val="20"/>
        </w:rPr>
        <w:t xml:space="preserve">to 424 cents per kilogram </w:t>
      </w:r>
      <w:r w:rsidRPr="00BE5873">
        <w:rPr>
          <w:rFonts w:cs="Calibri"/>
          <w:sz w:val="20"/>
          <w:szCs w:val="20"/>
        </w:rPr>
        <w:t xml:space="preserve">in Victoria and </w:t>
      </w:r>
      <w:r w:rsidR="001E66CE" w:rsidRPr="00BE5873">
        <w:rPr>
          <w:rFonts w:cs="Calibri"/>
          <w:sz w:val="20"/>
          <w:szCs w:val="20"/>
        </w:rPr>
        <w:t xml:space="preserve">427 cents per kilogram </w:t>
      </w:r>
      <w:r w:rsidR="001E66CE">
        <w:rPr>
          <w:rFonts w:cs="Calibri"/>
          <w:sz w:val="20"/>
          <w:szCs w:val="20"/>
        </w:rPr>
        <w:t xml:space="preserve">in </w:t>
      </w:r>
      <w:r w:rsidRPr="00BE5873">
        <w:rPr>
          <w:rFonts w:cs="Calibri"/>
          <w:sz w:val="20"/>
          <w:szCs w:val="20"/>
        </w:rPr>
        <w:t>South Australia</w:t>
      </w:r>
      <w:r w:rsidR="001E66CE">
        <w:rPr>
          <w:rFonts w:cs="Calibri"/>
          <w:sz w:val="20"/>
          <w:szCs w:val="20"/>
        </w:rPr>
        <w:t>.</w:t>
      </w:r>
      <w:r w:rsidRPr="00BE5873">
        <w:rPr>
          <w:rFonts w:cs="Calibri"/>
          <w:sz w:val="20"/>
          <w:szCs w:val="20"/>
        </w:rPr>
        <w:t xml:space="preserve"> In New South Wales the indicator price declined by 1 per cent to 409 cents per kilogram but rose in Western Australian by 3 per cent to 414 cents per kilogram.</w:t>
      </w:r>
    </w:p>
    <w:p w:rsidR="00B31EFD" w:rsidRPr="008C229A" w:rsidRDefault="00B31EFD" w:rsidP="00B31EFD">
      <w:pPr>
        <w:pStyle w:val="ListParagraph"/>
        <w:numPr>
          <w:ilvl w:val="0"/>
          <w:numId w:val="8"/>
        </w:numPr>
        <w:spacing w:before="120" w:after="120" w:line="240" w:lineRule="auto"/>
        <w:ind w:left="357" w:hanging="357"/>
        <w:contextualSpacing w:val="0"/>
        <w:rPr>
          <w:rFonts w:cs="Calibri"/>
          <w:sz w:val="20"/>
          <w:szCs w:val="20"/>
        </w:rPr>
      </w:pPr>
      <w:r w:rsidRPr="008C229A">
        <w:rPr>
          <w:rFonts w:cs="Calibri"/>
          <w:sz w:val="20"/>
          <w:szCs w:val="20"/>
        </w:rPr>
        <w:t>The volume of beef and veal exports were around 87 000 tonnes in May 2012, two thousand tonnes higher than for the same month in 2011. Shipments to the United States were around 4 500 tonnes higher, which offset a fall in exports to the Republic of Korea.</w:t>
      </w:r>
    </w:p>
    <w:p w:rsidR="00B31EFD" w:rsidRPr="008C229A" w:rsidRDefault="008C229A" w:rsidP="00B31EFD">
      <w:pPr>
        <w:pStyle w:val="ListParagraph"/>
        <w:numPr>
          <w:ilvl w:val="0"/>
          <w:numId w:val="8"/>
        </w:numPr>
        <w:spacing w:before="120" w:after="120" w:line="240" w:lineRule="auto"/>
        <w:ind w:left="357" w:hanging="357"/>
        <w:contextualSpacing w:val="0"/>
        <w:rPr>
          <w:rFonts w:cs="Calibri"/>
          <w:sz w:val="20"/>
          <w:szCs w:val="20"/>
        </w:rPr>
      </w:pPr>
      <w:r w:rsidRPr="008C229A">
        <w:rPr>
          <w:rFonts w:cs="Calibri"/>
          <w:sz w:val="20"/>
          <w:szCs w:val="20"/>
        </w:rPr>
        <w:t xml:space="preserve">Australian milk production was 8 per cent higher in April 2012 than April 2011. Production rose in all states except Western Australia where there was a 6 per cent fall. Over the first ten months of 2011-12, Australian milk production was 4.3 per cent higher than the same months in 2010-11, which reflects producers continuing to increase production in response to ongoing favourable seasonal conditions and </w:t>
      </w:r>
      <w:r w:rsidR="00B31EFD" w:rsidRPr="008C229A">
        <w:rPr>
          <w:rFonts w:cs="Calibri"/>
          <w:sz w:val="20"/>
          <w:szCs w:val="20"/>
        </w:rPr>
        <w:t>abundant supplies of irrigation water since the middle of</w:t>
      </w:r>
      <w:r w:rsidR="00C224DE">
        <w:rPr>
          <w:rFonts w:cs="Calibri"/>
          <w:sz w:val="20"/>
          <w:szCs w:val="20"/>
        </w:rPr>
        <w:t xml:space="preserve"> 2010-11.</w:t>
      </w:r>
    </w:p>
    <w:p w:rsidR="00B31EFD" w:rsidRDefault="00B31EFD" w:rsidP="00B31EFD">
      <w:pPr>
        <w:pStyle w:val="ListParagraph"/>
        <w:numPr>
          <w:ilvl w:val="0"/>
          <w:numId w:val="8"/>
        </w:numPr>
        <w:spacing w:before="120" w:after="120" w:line="240" w:lineRule="auto"/>
        <w:ind w:left="357" w:hanging="357"/>
        <w:contextualSpacing w:val="0"/>
        <w:rPr>
          <w:rFonts w:cs="Calibri"/>
          <w:sz w:val="20"/>
          <w:szCs w:val="20"/>
        </w:rPr>
      </w:pPr>
      <w:r w:rsidRPr="008C229A">
        <w:rPr>
          <w:rFonts w:cs="Calibri"/>
          <w:sz w:val="20"/>
          <w:szCs w:val="20"/>
        </w:rPr>
        <w:t xml:space="preserve">The Indian Meteorology Department declared the onset of the south west monsoon over Kerala on 5 June 2012. Rainfall from the monsoon is important for India’s </w:t>
      </w:r>
      <w:proofErr w:type="spellStart"/>
      <w:r w:rsidRPr="008C229A">
        <w:rPr>
          <w:rFonts w:cs="Calibri"/>
          <w:sz w:val="20"/>
          <w:szCs w:val="20"/>
        </w:rPr>
        <w:t>Kharif</w:t>
      </w:r>
      <w:proofErr w:type="spellEnd"/>
      <w:r w:rsidRPr="008C229A">
        <w:rPr>
          <w:rFonts w:cs="Calibri"/>
          <w:sz w:val="20"/>
          <w:szCs w:val="20"/>
        </w:rPr>
        <w:t xml:space="preserve"> crops, such as rice, sorghum, maize, sugar and cotton. Although the monsoon has commenced and this is a notable event, this is not a guarantee it will deliver adequate rainfall over the season.</w:t>
      </w:r>
    </w:p>
    <w:p w:rsidR="00C224DE" w:rsidRPr="008C229A" w:rsidRDefault="00C224DE" w:rsidP="00C224DE">
      <w:pPr>
        <w:pStyle w:val="ListParagraph"/>
        <w:spacing w:before="120" w:after="120" w:line="240" w:lineRule="auto"/>
        <w:ind w:left="357"/>
        <w:contextualSpacing w:val="0"/>
        <w:rPr>
          <w:rFonts w:cs="Calibri"/>
          <w:sz w:val="20"/>
          <w:szCs w:val="20"/>
        </w:rPr>
      </w:pPr>
    </w:p>
    <w:p w:rsidR="00BE5873" w:rsidRPr="008867AB" w:rsidRDefault="00BE5873">
      <w:pPr>
        <w:rPr>
          <w:rFonts w:ascii="Calibri" w:hAnsi="Calibri" w:cs="Arial"/>
          <w:color w:val="00B0F0"/>
          <w:sz w:val="20"/>
          <w:szCs w:val="20"/>
        </w:rPr>
        <w:sectPr w:rsidR="00BE5873" w:rsidRPr="008867AB" w:rsidSect="00E6294C">
          <w:footerReference w:type="default" r:id="rId25"/>
          <w:footerReference w:type="first" r:id="rId26"/>
          <w:type w:val="continuous"/>
          <w:pgSz w:w="11906" w:h="16838"/>
          <w:pgMar w:top="1440" w:right="1440" w:bottom="1440" w:left="1440" w:header="709" w:footer="709" w:gutter="0"/>
          <w:cols w:space="708"/>
          <w:titlePg/>
          <w:docGrid w:linePitch="360"/>
        </w:sectPr>
      </w:pPr>
    </w:p>
    <w:p w:rsidR="00A12B8B" w:rsidRPr="00027E81" w:rsidRDefault="0098506B" w:rsidP="00A12B8B">
      <w:pPr>
        <w:pStyle w:val="Heading3"/>
        <w:numPr>
          <w:ilvl w:val="1"/>
          <w:numId w:val="4"/>
        </w:numPr>
        <w:spacing w:line="276" w:lineRule="auto"/>
        <w:ind w:left="709" w:hanging="709"/>
        <w:rPr>
          <w:rFonts w:cs="Arial"/>
          <w:color w:val="auto"/>
          <w:sz w:val="28"/>
          <w:szCs w:val="28"/>
        </w:rPr>
      </w:pPr>
      <w:r w:rsidRPr="00027E81">
        <w:rPr>
          <w:rFonts w:cs="Arial"/>
          <w:color w:val="auto"/>
          <w:sz w:val="28"/>
          <w:szCs w:val="28"/>
        </w:rPr>
        <w:lastRenderedPageBreak/>
        <w:t>Recent movements in fruit and vegetable prices</w:t>
      </w:r>
    </w:p>
    <w:p w:rsidR="00A12B8B" w:rsidRPr="004D454E" w:rsidRDefault="00A12B8B" w:rsidP="00A12B8B">
      <w:pPr>
        <w:ind w:left="426"/>
        <w:rPr>
          <w:rFonts w:ascii="Calibri" w:hAnsi="Calibri" w:cs="Arial"/>
          <w:b/>
          <w:bCs/>
          <w:iCs/>
        </w:rPr>
      </w:pPr>
      <w:r w:rsidRPr="004D454E">
        <w:rPr>
          <w:rFonts w:ascii="Calibri" w:hAnsi="Calibri" w:cs="Arial"/>
          <w:b/>
          <w:bCs/>
          <w:iCs/>
        </w:rPr>
        <w:t>Weekly wholesale prices for selected fruit, Melbourne market</w:t>
      </w:r>
    </w:p>
    <w:p w:rsidR="005E7073" w:rsidRDefault="00F17B4D" w:rsidP="00A12B8B">
      <w:pPr>
        <w:rPr>
          <w:rFonts w:ascii="Calibri" w:hAnsi="Calibri"/>
        </w:rPr>
      </w:pPr>
      <w:r>
        <w:rPr>
          <w:noProof/>
        </w:rPr>
        <w:drawing>
          <wp:inline distT="0" distB="0" distL="0" distR="0">
            <wp:extent cx="3950970" cy="2519045"/>
            <wp:effectExtent l="19050" t="0" r="0" b="0"/>
            <wp:docPr id="16" name="Picture 16" descr="Line graph showing weekly wholesale prices for pineapple (smoothleaf), watermelon (seedless), rockmelon, and banana (cavendish), Melbourne market in the week ending 2 Jun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ne graph showing weekly wholesale prices for pineapple (smoothleaf), watermelon (seedless), rockmelon, and banana (cavendish), Melbourne market in the week ending 2 June 2012"/>
                    <pic:cNvPicPr>
                      <a:picLocks noChangeAspect="1" noChangeArrowheads="1"/>
                    </pic:cNvPicPr>
                  </pic:nvPicPr>
                  <pic:blipFill>
                    <a:blip r:embed="rId27" cstate="print"/>
                    <a:srcRect/>
                    <a:stretch>
                      <a:fillRect/>
                    </a:stretch>
                  </pic:blipFill>
                  <pic:spPr bwMode="auto">
                    <a:xfrm>
                      <a:off x="0" y="0"/>
                      <a:ext cx="3950970" cy="2519045"/>
                    </a:xfrm>
                    <a:prstGeom prst="rect">
                      <a:avLst/>
                    </a:prstGeom>
                    <a:noFill/>
                    <a:ln w="9525">
                      <a:noFill/>
                      <a:miter lim="800000"/>
                      <a:headEnd/>
                      <a:tailEnd/>
                    </a:ln>
                  </pic:spPr>
                </pic:pic>
              </a:graphicData>
            </a:graphic>
          </wp:inline>
        </w:drawing>
      </w:r>
      <w:r w:rsidR="00AE13C9" w:rsidRPr="00AE13C9">
        <w:t xml:space="preserve"> </w:t>
      </w:r>
      <w:r>
        <w:rPr>
          <w:noProof/>
        </w:rPr>
        <w:drawing>
          <wp:inline distT="0" distB="0" distL="0" distR="0">
            <wp:extent cx="3950970" cy="2519045"/>
            <wp:effectExtent l="19050" t="0" r="0" b="0"/>
            <wp:docPr id="17" name="Picture 17" descr="Line graph showing weekly wholesale prices for kiwfruit (hayward), orange (navel), apple (royal gala), and avacado (hass), Melbourne market in the week ending 2 Jun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ne graph showing weekly wholesale prices for kiwfruit (hayward), orange (navel), apple (royal gala), and avacado (hass), Melbourne market in the week ending 2 June 2012."/>
                    <pic:cNvPicPr>
                      <a:picLocks noChangeAspect="1" noChangeArrowheads="1"/>
                    </pic:cNvPicPr>
                  </pic:nvPicPr>
                  <pic:blipFill>
                    <a:blip r:embed="rId28" cstate="print"/>
                    <a:srcRect/>
                    <a:stretch>
                      <a:fillRect/>
                    </a:stretch>
                  </pic:blipFill>
                  <pic:spPr bwMode="auto">
                    <a:xfrm>
                      <a:off x="0" y="0"/>
                      <a:ext cx="3950970" cy="2519045"/>
                    </a:xfrm>
                    <a:prstGeom prst="rect">
                      <a:avLst/>
                    </a:prstGeom>
                    <a:noFill/>
                    <a:ln w="9525">
                      <a:noFill/>
                      <a:miter lim="800000"/>
                      <a:headEnd/>
                      <a:tailEnd/>
                    </a:ln>
                  </pic:spPr>
                </pic:pic>
              </a:graphicData>
            </a:graphic>
          </wp:inline>
        </w:drawing>
      </w:r>
    </w:p>
    <w:p w:rsidR="005E7073" w:rsidRPr="004D454E" w:rsidRDefault="005E7073" w:rsidP="005E7073">
      <w:pPr>
        <w:ind w:left="425"/>
        <w:rPr>
          <w:rFonts w:ascii="Calibri" w:hAnsi="Calibri" w:cs="Arial"/>
          <w:b/>
          <w:bCs/>
          <w:iCs/>
        </w:rPr>
      </w:pPr>
      <w:r w:rsidRPr="004D454E">
        <w:rPr>
          <w:rFonts w:ascii="Calibri" w:hAnsi="Calibri" w:cs="Arial"/>
          <w:b/>
          <w:bCs/>
          <w:iCs/>
        </w:rPr>
        <w:t>Weekly wholesale prices for selected vegetables, Melbourne market</w:t>
      </w:r>
    </w:p>
    <w:p w:rsidR="00A12B8B" w:rsidRPr="004D454E" w:rsidRDefault="00F17B4D" w:rsidP="00A12B8B">
      <w:pPr>
        <w:rPr>
          <w:rFonts w:ascii="Calibri" w:hAnsi="Calibri"/>
        </w:rPr>
      </w:pPr>
      <w:r>
        <w:rPr>
          <w:noProof/>
        </w:rPr>
        <w:drawing>
          <wp:inline distT="0" distB="0" distL="0" distR="0">
            <wp:extent cx="3968115" cy="2519045"/>
            <wp:effectExtent l="19050" t="0" r="0" b="0"/>
            <wp:docPr id="18" name="Picture 18" descr="Line graph showing weekly wholesale prices for onion (brown), cauliflower, potato (white, washed) and tomato (field gourmet), Melbourne market in the week ending 2 Jun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e graph showing weekly wholesale prices for onion (brown), cauliflower, potato (white, washed) and tomato (field gourmet), Melbourne market in the week ending 2 June 2012"/>
                    <pic:cNvPicPr>
                      <a:picLocks noChangeAspect="1" noChangeArrowheads="1"/>
                    </pic:cNvPicPr>
                  </pic:nvPicPr>
                  <pic:blipFill>
                    <a:blip r:embed="rId29" cstate="print"/>
                    <a:srcRect/>
                    <a:stretch>
                      <a:fillRect/>
                    </a:stretch>
                  </pic:blipFill>
                  <pic:spPr bwMode="auto">
                    <a:xfrm>
                      <a:off x="0" y="0"/>
                      <a:ext cx="3968115" cy="2519045"/>
                    </a:xfrm>
                    <a:prstGeom prst="rect">
                      <a:avLst/>
                    </a:prstGeom>
                    <a:noFill/>
                    <a:ln w="9525">
                      <a:noFill/>
                      <a:miter lim="800000"/>
                      <a:headEnd/>
                      <a:tailEnd/>
                    </a:ln>
                  </pic:spPr>
                </pic:pic>
              </a:graphicData>
            </a:graphic>
          </wp:inline>
        </w:drawing>
      </w:r>
      <w:r w:rsidR="00AE13C9" w:rsidRPr="00AE13C9">
        <w:t xml:space="preserve"> </w:t>
      </w:r>
      <w:r>
        <w:rPr>
          <w:noProof/>
        </w:rPr>
        <w:drawing>
          <wp:inline distT="0" distB="0" distL="0" distR="0">
            <wp:extent cx="3942080" cy="2519045"/>
            <wp:effectExtent l="19050" t="0" r="1270" b="0"/>
            <wp:docPr id="19" name="Picture 19" descr="Line graph showing weekly wholesale prices for broccoli, lettuce (iceberg), pumpkin (grey), and bean (round, stringless) Melbourne market in the week ending 2 Jun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ne graph showing weekly wholesale prices for broccoli, lettuce (iceberg), pumpkin (grey), and bean (round, stringless) Melbourne market in the week ending 2 June 2012."/>
                    <pic:cNvPicPr>
                      <a:picLocks noChangeAspect="1" noChangeArrowheads="1"/>
                    </pic:cNvPicPr>
                  </pic:nvPicPr>
                  <pic:blipFill>
                    <a:blip r:embed="rId30" cstate="print"/>
                    <a:srcRect/>
                    <a:stretch>
                      <a:fillRect/>
                    </a:stretch>
                  </pic:blipFill>
                  <pic:spPr bwMode="auto">
                    <a:xfrm>
                      <a:off x="0" y="0"/>
                      <a:ext cx="3942080" cy="2519045"/>
                    </a:xfrm>
                    <a:prstGeom prst="rect">
                      <a:avLst/>
                    </a:prstGeom>
                    <a:noFill/>
                    <a:ln w="9525">
                      <a:noFill/>
                      <a:miter lim="800000"/>
                      <a:headEnd/>
                      <a:tailEnd/>
                    </a:ln>
                  </pic:spPr>
                </pic:pic>
              </a:graphicData>
            </a:graphic>
          </wp:inline>
        </w:drawing>
      </w:r>
    </w:p>
    <w:p w:rsidR="005A52EA" w:rsidRPr="00027E81" w:rsidRDefault="005A52EA" w:rsidP="005A52EA">
      <w:pPr>
        <w:pStyle w:val="Heading3"/>
        <w:numPr>
          <w:ilvl w:val="1"/>
          <w:numId w:val="4"/>
        </w:numPr>
        <w:spacing w:line="276" w:lineRule="auto"/>
        <w:ind w:left="709" w:hanging="709"/>
        <w:rPr>
          <w:rFonts w:cs="Arial"/>
          <w:color w:val="auto"/>
          <w:sz w:val="28"/>
          <w:szCs w:val="28"/>
        </w:rPr>
      </w:pPr>
      <w:r w:rsidRPr="00027E81">
        <w:rPr>
          <w:rFonts w:cs="Arial"/>
          <w:color w:val="auto"/>
          <w:sz w:val="28"/>
          <w:szCs w:val="28"/>
        </w:rPr>
        <w:lastRenderedPageBreak/>
        <w:t>Selected world indicator prices</w:t>
      </w:r>
    </w:p>
    <w:p w:rsidR="005A52EA" w:rsidRPr="00B539C1" w:rsidRDefault="00F17B4D" w:rsidP="00062CC9">
      <w:pPr>
        <w:pStyle w:val="ListBullet"/>
        <w:numPr>
          <w:ilvl w:val="0"/>
          <w:numId w:val="0"/>
        </w:numPr>
        <w:spacing w:before="100"/>
        <w:rPr>
          <w:rFonts w:ascii="Calibri" w:hAnsi="Calibri" w:cs="Arial"/>
          <w:b/>
          <w:bCs/>
          <w:sz w:val="28"/>
          <w:szCs w:val="28"/>
        </w:rPr>
      </w:pPr>
      <w:r>
        <w:rPr>
          <w:noProof/>
          <w:szCs w:val="28"/>
        </w:rPr>
        <w:drawing>
          <wp:inline distT="0" distB="0" distL="0" distR="0">
            <wp:extent cx="3864610" cy="2769235"/>
            <wp:effectExtent l="19050" t="0" r="2540" b="0"/>
            <wp:docPr id="20" name="Picture 20" descr="Line graph showing the difference in indicator prices for world cotton since 2010. The price at 6 June 2012 was 80 cents per 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ne graph showing the difference in indicator prices for world cotton since 2010. The price at 6 June 2012 was 80 cents per pound."/>
                    <pic:cNvPicPr>
                      <a:picLocks noChangeAspect="1" noChangeArrowheads="1"/>
                    </pic:cNvPicPr>
                  </pic:nvPicPr>
                  <pic:blipFill>
                    <a:blip r:embed="rId31" cstate="print"/>
                    <a:srcRect/>
                    <a:stretch>
                      <a:fillRect/>
                    </a:stretch>
                  </pic:blipFill>
                  <pic:spPr bwMode="auto">
                    <a:xfrm>
                      <a:off x="0" y="0"/>
                      <a:ext cx="3864610" cy="2769235"/>
                    </a:xfrm>
                    <a:prstGeom prst="rect">
                      <a:avLst/>
                    </a:prstGeom>
                    <a:noFill/>
                    <a:ln w="9525">
                      <a:noFill/>
                      <a:miter lim="800000"/>
                      <a:headEnd/>
                      <a:tailEnd/>
                    </a:ln>
                  </pic:spPr>
                </pic:pic>
              </a:graphicData>
            </a:graphic>
          </wp:inline>
        </w:drawing>
      </w:r>
      <w:r w:rsidR="005A52EA" w:rsidRPr="00E923A9">
        <w:rPr>
          <w:rFonts w:ascii="Calibri" w:hAnsi="Calibri" w:cs="Arial"/>
          <w:b/>
          <w:bCs/>
          <w:noProof/>
          <w:sz w:val="28"/>
          <w:szCs w:val="28"/>
        </w:rPr>
        <w:t xml:space="preserve"> </w:t>
      </w:r>
      <w:r>
        <w:rPr>
          <w:noProof/>
          <w:szCs w:val="28"/>
        </w:rPr>
        <w:drawing>
          <wp:inline distT="0" distB="0" distL="0" distR="0">
            <wp:extent cx="3864610" cy="2769235"/>
            <wp:effectExtent l="19050" t="0" r="2540" b="0"/>
            <wp:docPr id="21" name="Picture 21" descr="Line graph showing the difference in the Australian exchange rate (US dollars) since 2010. The exchange rate at 6 June 2012 is 0.97016667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ne graph showing the difference in the Australian exchange rate (US dollars) since 2010. The exchange rate at 6 June 2012 is 0.97016667 dollars."/>
                    <pic:cNvPicPr>
                      <a:picLocks noChangeAspect="1" noChangeArrowheads="1"/>
                    </pic:cNvPicPr>
                  </pic:nvPicPr>
                  <pic:blipFill>
                    <a:blip r:embed="rId32" cstate="print"/>
                    <a:srcRect/>
                    <a:stretch>
                      <a:fillRect/>
                    </a:stretch>
                  </pic:blipFill>
                  <pic:spPr bwMode="auto">
                    <a:xfrm>
                      <a:off x="0" y="0"/>
                      <a:ext cx="3864610" cy="2769235"/>
                    </a:xfrm>
                    <a:prstGeom prst="rect">
                      <a:avLst/>
                    </a:prstGeom>
                    <a:noFill/>
                    <a:ln w="9525">
                      <a:noFill/>
                      <a:miter lim="800000"/>
                      <a:headEnd/>
                      <a:tailEnd/>
                    </a:ln>
                  </pic:spPr>
                </pic:pic>
              </a:graphicData>
            </a:graphic>
          </wp:inline>
        </w:drawing>
      </w:r>
      <w:r w:rsidR="005A52EA" w:rsidRPr="00E923A9">
        <w:rPr>
          <w:rFonts w:ascii="Calibri" w:hAnsi="Calibri" w:cs="Arial"/>
          <w:b/>
          <w:bCs/>
          <w:noProof/>
          <w:sz w:val="28"/>
          <w:szCs w:val="28"/>
        </w:rPr>
        <w:t xml:space="preserve"> </w:t>
      </w:r>
      <w:r>
        <w:rPr>
          <w:noProof/>
          <w:szCs w:val="28"/>
        </w:rPr>
        <w:drawing>
          <wp:inline distT="0" distB="0" distL="0" distR="0">
            <wp:extent cx="3881755" cy="2769235"/>
            <wp:effectExtent l="19050" t="0" r="4445" b="0"/>
            <wp:docPr id="22" name="Picture 22" descr="Line graph showing the world sugar indicator price (US cents) since 2010. The value at 6 June 2012 was 19 cents a 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ne graph showing the world sugar indicator price (US cents) since 2010. The value at 6 June 2012 was 19 cents a pound."/>
                    <pic:cNvPicPr>
                      <a:picLocks noChangeAspect="1" noChangeArrowheads="1"/>
                    </pic:cNvPicPr>
                  </pic:nvPicPr>
                  <pic:blipFill>
                    <a:blip r:embed="rId33" cstate="print"/>
                    <a:srcRect/>
                    <a:stretch>
                      <a:fillRect/>
                    </a:stretch>
                  </pic:blipFill>
                  <pic:spPr bwMode="auto">
                    <a:xfrm>
                      <a:off x="0" y="0"/>
                      <a:ext cx="3881755" cy="2769235"/>
                    </a:xfrm>
                    <a:prstGeom prst="rect">
                      <a:avLst/>
                    </a:prstGeom>
                    <a:noFill/>
                    <a:ln w="9525">
                      <a:noFill/>
                      <a:miter lim="800000"/>
                      <a:headEnd/>
                      <a:tailEnd/>
                    </a:ln>
                  </pic:spPr>
                </pic:pic>
              </a:graphicData>
            </a:graphic>
          </wp:inline>
        </w:drawing>
      </w:r>
      <w:r w:rsidR="005A52EA" w:rsidRPr="00E923A9">
        <w:rPr>
          <w:rFonts w:ascii="Calibri" w:hAnsi="Calibri" w:cs="Arial"/>
          <w:b/>
          <w:bCs/>
          <w:noProof/>
          <w:sz w:val="28"/>
          <w:szCs w:val="28"/>
        </w:rPr>
        <w:t xml:space="preserve"> </w:t>
      </w:r>
      <w:r>
        <w:rPr>
          <w:noProof/>
          <w:szCs w:val="28"/>
        </w:rPr>
        <w:drawing>
          <wp:inline distT="0" distB="0" distL="0" distR="0">
            <wp:extent cx="3864610" cy="2769235"/>
            <wp:effectExtent l="19050" t="0" r="2540" b="0"/>
            <wp:docPr id="23" name="Picture 23" descr="Line graph showing the Eastern Market Indicator wool price in Australian cents. The price at 31 May 2012 was 1096 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ne graph showing the Eastern Market Indicator wool price in Australian cents. The price at 31 May 2012 was 1096 cents"/>
                    <pic:cNvPicPr>
                      <a:picLocks noChangeAspect="1" noChangeArrowheads="1"/>
                    </pic:cNvPicPr>
                  </pic:nvPicPr>
                  <pic:blipFill>
                    <a:blip r:embed="rId34" cstate="print"/>
                    <a:srcRect/>
                    <a:stretch>
                      <a:fillRect/>
                    </a:stretch>
                  </pic:blipFill>
                  <pic:spPr bwMode="auto">
                    <a:xfrm>
                      <a:off x="0" y="0"/>
                      <a:ext cx="3864610" cy="2769235"/>
                    </a:xfrm>
                    <a:prstGeom prst="rect">
                      <a:avLst/>
                    </a:prstGeom>
                    <a:noFill/>
                    <a:ln w="9525">
                      <a:noFill/>
                      <a:miter lim="800000"/>
                      <a:headEnd/>
                      <a:tailEnd/>
                    </a:ln>
                  </pic:spPr>
                </pic:pic>
              </a:graphicData>
            </a:graphic>
          </wp:inline>
        </w:drawing>
      </w:r>
    </w:p>
    <w:p w:rsidR="008E5829" w:rsidRPr="00027E81" w:rsidRDefault="008E5829" w:rsidP="008E5829">
      <w:pPr>
        <w:pStyle w:val="Heading3"/>
        <w:numPr>
          <w:ilvl w:val="1"/>
          <w:numId w:val="4"/>
        </w:numPr>
        <w:spacing w:line="276" w:lineRule="auto"/>
        <w:ind w:left="709" w:hanging="709"/>
        <w:rPr>
          <w:rFonts w:cs="Arial"/>
          <w:color w:val="auto"/>
          <w:sz w:val="28"/>
          <w:szCs w:val="28"/>
        </w:rPr>
      </w:pPr>
      <w:r w:rsidRPr="00027E81">
        <w:rPr>
          <w:rFonts w:cs="Arial"/>
          <w:color w:val="auto"/>
          <w:sz w:val="28"/>
          <w:szCs w:val="28"/>
        </w:rPr>
        <w:lastRenderedPageBreak/>
        <w:t>Crop indicator prices</w:t>
      </w:r>
    </w:p>
    <w:p w:rsidR="008E5829" w:rsidRPr="00B539C1" w:rsidRDefault="00F17B4D" w:rsidP="008E5829">
      <w:pPr>
        <w:rPr>
          <w:rFonts w:ascii="Calibri" w:hAnsi="Calibri"/>
          <w:sz w:val="20"/>
          <w:szCs w:val="20"/>
        </w:rPr>
      </w:pPr>
      <w:r>
        <w:rPr>
          <w:noProof/>
          <w:szCs w:val="20"/>
        </w:rPr>
        <w:drawing>
          <wp:inline distT="0" distB="0" distL="0" distR="0">
            <wp:extent cx="3873500" cy="2769235"/>
            <wp:effectExtent l="19050" t="0" r="0" b="0"/>
            <wp:docPr id="24" name="Picture 24" descr="Line graph showing the difference in trading prices for canola since 2010. The price at 4 June 2012 was $518 per 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ne graph showing the difference in trading prices for canola since 2010. The price at 4 June 2012 was $518 per tonne."/>
                    <pic:cNvPicPr>
                      <a:picLocks noChangeAspect="1" noChangeArrowheads="1"/>
                    </pic:cNvPicPr>
                  </pic:nvPicPr>
                  <pic:blipFill>
                    <a:blip r:embed="rId35" cstate="print"/>
                    <a:srcRect/>
                    <a:stretch>
                      <a:fillRect/>
                    </a:stretch>
                  </pic:blipFill>
                  <pic:spPr bwMode="auto">
                    <a:xfrm>
                      <a:off x="0" y="0"/>
                      <a:ext cx="3873500" cy="2769235"/>
                    </a:xfrm>
                    <a:prstGeom prst="rect">
                      <a:avLst/>
                    </a:prstGeom>
                    <a:noFill/>
                    <a:ln w="9525">
                      <a:noFill/>
                      <a:miter lim="800000"/>
                      <a:headEnd/>
                      <a:tailEnd/>
                    </a:ln>
                  </pic:spPr>
                </pic:pic>
              </a:graphicData>
            </a:graphic>
          </wp:inline>
        </w:drawing>
      </w:r>
      <w:r w:rsidR="008E5829" w:rsidRPr="00E923A9">
        <w:rPr>
          <w:rFonts w:ascii="Calibri" w:hAnsi="Calibri"/>
          <w:noProof/>
          <w:sz w:val="20"/>
          <w:szCs w:val="20"/>
        </w:rPr>
        <w:t xml:space="preserve"> </w:t>
      </w:r>
      <w:r>
        <w:rPr>
          <w:noProof/>
          <w:szCs w:val="20"/>
        </w:rPr>
        <w:drawing>
          <wp:inline distT="0" distB="0" distL="0" distR="0">
            <wp:extent cx="3873500" cy="2769235"/>
            <wp:effectExtent l="19050" t="0" r="0" b="0"/>
            <wp:docPr id="25" name="Picture 25" descr="Line graph showing the difference in trading prices for feed barley since 2010. The price at 5 June 2012 was $220 per 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ne graph showing the difference in trading prices for feed barley since 2010. The price at 5 June 2012 was $220 per tonne."/>
                    <pic:cNvPicPr>
                      <a:picLocks noChangeAspect="1" noChangeArrowheads="1"/>
                    </pic:cNvPicPr>
                  </pic:nvPicPr>
                  <pic:blipFill>
                    <a:blip r:embed="rId36" cstate="print"/>
                    <a:srcRect/>
                    <a:stretch>
                      <a:fillRect/>
                    </a:stretch>
                  </pic:blipFill>
                  <pic:spPr bwMode="auto">
                    <a:xfrm>
                      <a:off x="0" y="0"/>
                      <a:ext cx="3873500" cy="2769235"/>
                    </a:xfrm>
                    <a:prstGeom prst="rect">
                      <a:avLst/>
                    </a:prstGeom>
                    <a:noFill/>
                    <a:ln w="9525">
                      <a:noFill/>
                      <a:miter lim="800000"/>
                      <a:headEnd/>
                      <a:tailEnd/>
                    </a:ln>
                  </pic:spPr>
                </pic:pic>
              </a:graphicData>
            </a:graphic>
          </wp:inline>
        </w:drawing>
      </w:r>
      <w:r w:rsidR="008E5829" w:rsidRPr="00E923A9">
        <w:rPr>
          <w:rFonts w:ascii="Calibri" w:hAnsi="Calibri"/>
          <w:noProof/>
          <w:sz w:val="20"/>
          <w:szCs w:val="20"/>
        </w:rPr>
        <w:t xml:space="preserve"> </w:t>
      </w:r>
      <w:r>
        <w:rPr>
          <w:rFonts w:ascii="Calibri" w:hAnsi="Calibri"/>
          <w:noProof/>
          <w:sz w:val="20"/>
          <w:szCs w:val="20"/>
        </w:rPr>
        <w:drawing>
          <wp:inline distT="0" distB="0" distL="0" distR="0">
            <wp:extent cx="3881755" cy="2769235"/>
            <wp:effectExtent l="0" t="0" r="0" b="0"/>
            <wp:docPr id="26" name="Chart 6" descr="Line graph showing the difference in trading prices for grain sorghum since 2010. The price at 5 June 2012 was $215 per ton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descr="Line graph showing the difference in trading prices for grain sorghum since 2010. The price at 5 June 2012 was $215 per tonne."/>
                    <pic:cNvPicPr>
                      <a:picLocks noChangeArrowheads="1"/>
                    </pic:cNvPicPr>
                  </pic:nvPicPr>
                  <pic:blipFill>
                    <a:blip r:embed="rId37" cstate="print"/>
                    <a:srcRect l="-9471" t="-5440" r="-5847" b="-7933"/>
                    <a:stretch>
                      <a:fillRect/>
                    </a:stretch>
                  </pic:blipFill>
                  <pic:spPr bwMode="auto">
                    <a:xfrm>
                      <a:off x="0" y="0"/>
                      <a:ext cx="3881755" cy="2769235"/>
                    </a:xfrm>
                    <a:prstGeom prst="rect">
                      <a:avLst/>
                    </a:prstGeom>
                    <a:noFill/>
                    <a:ln w="9525">
                      <a:noFill/>
                      <a:miter lim="800000"/>
                      <a:headEnd/>
                      <a:tailEnd/>
                    </a:ln>
                  </pic:spPr>
                </pic:pic>
              </a:graphicData>
            </a:graphic>
          </wp:inline>
        </w:drawing>
      </w:r>
      <w:r w:rsidR="009301D3" w:rsidRPr="009301D3">
        <w:rPr>
          <w:rFonts w:ascii="Calibri" w:hAnsi="Calibri"/>
          <w:noProof/>
          <w:sz w:val="20"/>
          <w:szCs w:val="20"/>
        </w:rPr>
        <w:t xml:space="preserve"> </w:t>
      </w:r>
      <w:r>
        <w:rPr>
          <w:noProof/>
          <w:szCs w:val="20"/>
        </w:rPr>
        <w:drawing>
          <wp:inline distT="0" distB="0" distL="0" distR="0">
            <wp:extent cx="3873500" cy="2769235"/>
            <wp:effectExtent l="19050" t="0" r="0" b="0"/>
            <wp:docPr id="27" name="Picture 27" descr="Line graph showing the difference in trading prices for feed wheat since 2010. The price at 5 June 2012 was $240 per 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ne graph showing the difference in trading prices for feed wheat since 2010. The price at 5 June 2012 was $240 per tonne."/>
                    <pic:cNvPicPr>
                      <a:picLocks noChangeAspect="1" noChangeArrowheads="1"/>
                    </pic:cNvPicPr>
                  </pic:nvPicPr>
                  <pic:blipFill>
                    <a:blip r:embed="rId38" cstate="print"/>
                    <a:srcRect/>
                    <a:stretch>
                      <a:fillRect/>
                    </a:stretch>
                  </pic:blipFill>
                  <pic:spPr bwMode="auto">
                    <a:xfrm>
                      <a:off x="0" y="0"/>
                      <a:ext cx="3873500" cy="2769235"/>
                    </a:xfrm>
                    <a:prstGeom prst="rect">
                      <a:avLst/>
                    </a:prstGeom>
                    <a:noFill/>
                    <a:ln w="9525">
                      <a:noFill/>
                      <a:miter lim="800000"/>
                      <a:headEnd/>
                      <a:tailEnd/>
                    </a:ln>
                  </pic:spPr>
                </pic:pic>
              </a:graphicData>
            </a:graphic>
          </wp:inline>
        </w:drawing>
      </w:r>
    </w:p>
    <w:p w:rsidR="008E5829" w:rsidRPr="00027E81" w:rsidRDefault="008E5829" w:rsidP="008E5829">
      <w:pPr>
        <w:pStyle w:val="Heading3"/>
        <w:numPr>
          <w:ilvl w:val="1"/>
          <w:numId w:val="4"/>
        </w:numPr>
        <w:spacing w:line="276" w:lineRule="auto"/>
        <w:ind w:left="709" w:hanging="709"/>
        <w:rPr>
          <w:rFonts w:cs="Arial"/>
          <w:color w:val="auto"/>
          <w:sz w:val="28"/>
          <w:szCs w:val="28"/>
        </w:rPr>
      </w:pPr>
      <w:r w:rsidRPr="00027E81">
        <w:rPr>
          <w:rFonts w:cs="Arial"/>
          <w:color w:val="auto"/>
          <w:sz w:val="28"/>
          <w:szCs w:val="28"/>
        </w:rPr>
        <w:lastRenderedPageBreak/>
        <w:t>Livestock indicator prices</w:t>
      </w:r>
    </w:p>
    <w:p w:rsidR="008E5829" w:rsidRPr="00B539C1" w:rsidRDefault="00F17B4D" w:rsidP="008E5829">
      <w:pPr>
        <w:rPr>
          <w:rFonts w:ascii="Calibri" w:hAnsi="Calibri"/>
          <w:sz w:val="20"/>
          <w:szCs w:val="20"/>
        </w:rPr>
      </w:pPr>
      <w:r>
        <w:rPr>
          <w:noProof/>
          <w:szCs w:val="20"/>
        </w:rPr>
        <w:drawing>
          <wp:inline distT="0" distB="0" distL="0" distR="0">
            <wp:extent cx="3873500" cy="2769235"/>
            <wp:effectExtent l="19050" t="0" r="0" b="0"/>
            <wp:docPr id="28" name="Picture 28" descr="Line graph showing the difference in indicator prices for young cattle since 2010. The price at 1 June 2012 was 372 cents per kilogram dresse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ne graph showing the difference in indicator prices for young cattle since 2010. The price at 1 June 2012 was 372 cents per kilogram dressed weight."/>
                    <pic:cNvPicPr>
                      <a:picLocks noChangeAspect="1" noChangeArrowheads="1"/>
                    </pic:cNvPicPr>
                  </pic:nvPicPr>
                  <pic:blipFill>
                    <a:blip r:embed="rId39" cstate="print"/>
                    <a:srcRect/>
                    <a:stretch>
                      <a:fillRect/>
                    </a:stretch>
                  </pic:blipFill>
                  <pic:spPr bwMode="auto">
                    <a:xfrm>
                      <a:off x="0" y="0"/>
                      <a:ext cx="3873500" cy="2769235"/>
                    </a:xfrm>
                    <a:prstGeom prst="rect">
                      <a:avLst/>
                    </a:prstGeom>
                    <a:noFill/>
                    <a:ln w="9525">
                      <a:noFill/>
                      <a:miter lim="800000"/>
                      <a:headEnd/>
                      <a:tailEnd/>
                    </a:ln>
                  </pic:spPr>
                </pic:pic>
              </a:graphicData>
            </a:graphic>
          </wp:inline>
        </w:drawing>
      </w:r>
      <w:r w:rsidR="009301D3" w:rsidRPr="009301D3">
        <w:rPr>
          <w:szCs w:val="20"/>
        </w:rPr>
        <w:t xml:space="preserve"> </w:t>
      </w:r>
      <w:r>
        <w:rPr>
          <w:noProof/>
          <w:szCs w:val="20"/>
        </w:rPr>
        <w:drawing>
          <wp:inline distT="0" distB="0" distL="0" distR="0">
            <wp:extent cx="3873500" cy="2769235"/>
            <wp:effectExtent l="19050" t="0" r="0" b="0"/>
            <wp:docPr id="29" name="Picture 29" descr="Line graph showing the difference in indicator prices for mutton since 2010. The price at 1 June 2012 was 306 cents per kilogram dresse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ne graph showing the difference in indicator prices for mutton since 2010. The price at 1 June 2012 was 306 cents per kilogram dressed weight."/>
                    <pic:cNvPicPr>
                      <a:picLocks noChangeAspect="1" noChangeArrowheads="1"/>
                    </pic:cNvPicPr>
                  </pic:nvPicPr>
                  <pic:blipFill>
                    <a:blip r:embed="rId40" cstate="print"/>
                    <a:srcRect/>
                    <a:stretch>
                      <a:fillRect/>
                    </a:stretch>
                  </pic:blipFill>
                  <pic:spPr bwMode="auto">
                    <a:xfrm>
                      <a:off x="0" y="0"/>
                      <a:ext cx="3873500" cy="2769235"/>
                    </a:xfrm>
                    <a:prstGeom prst="rect">
                      <a:avLst/>
                    </a:prstGeom>
                    <a:noFill/>
                    <a:ln w="9525">
                      <a:noFill/>
                      <a:miter lim="800000"/>
                      <a:headEnd/>
                      <a:tailEnd/>
                    </a:ln>
                  </pic:spPr>
                </pic:pic>
              </a:graphicData>
            </a:graphic>
          </wp:inline>
        </w:drawing>
      </w:r>
      <w:r w:rsidR="008E5829" w:rsidRPr="00E923A9">
        <w:rPr>
          <w:rFonts w:ascii="Calibri" w:hAnsi="Calibri"/>
          <w:noProof/>
          <w:sz w:val="20"/>
          <w:szCs w:val="20"/>
        </w:rPr>
        <w:t xml:space="preserve"> </w:t>
      </w:r>
      <w:r>
        <w:rPr>
          <w:noProof/>
          <w:szCs w:val="20"/>
        </w:rPr>
        <w:drawing>
          <wp:inline distT="0" distB="0" distL="0" distR="0">
            <wp:extent cx="3881755" cy="2769235"/>
            <wp:effectExtent l="19050" t="0" r="4445" b="0"/>
            <wp:docPr id="30" name="Picture 30" descr="Line graph showing the difference in indicator prices for lamb since 2010. The price at 1 June 2012 was 424 cents per kilogram dresse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e graph showing the difference in indicator prices for lamb since 2010. The price at 1 June 2012 was 424 cents per kilogram dressed weight."/>
                    <pic:cNvPicPr>
                      <a:picLocks noChangeAspect="1" noChangeArrowheads="1"/>
                    </pic:cNvPicPr>
                  </pic:nvPicPr>
                  <pic:blipFill>
                    <a:blip r:embed="rId41" cstate="print"/>
                    <a:srcRect/>
                    <a:stretch>
                      <a:fillRect/>
                    </a:stretch>
                  </pic:blipFill>
                  <pic:spPr bwMode="auto">
                    <a:xfrm>
                      <a:off x="0" y="0"/>
                      <a:ext cx="3881755" cy="2769235"/>
                    </a:xfrm>
                    <a:prstGeom prst="rect">
                      <a:avLst/>
                    </a:prstGeom>
                    <a:noFill/>
                    <a:ln w="9525">
                      <a:noFill/>
                      <a:miter lim="800000"/>
                      <a:headEnd/>
                      <a:tailEnd/>
                    </a:ln>
                  </pic:spPr>
                </pic:pic>
              </a:graphicData>
            </a:graphic>
          </wp:inline>
        </w:drawing>
      </w:r>
      <w:r w:rsidR="008E5829" w:rsidRPr="00FA0A5A">
        <w:rPr>
          <w:rFonts w:ascii="Calibri" w:hAnsi="Calibri"/>
          <w:noProof/>
          <w:sz w:val="20"/>
          <w:szCs w:val="20"/>
        </w:rPr>
        <w:t xml:space="preserve"> </w:t>
      </w:r>
      <w:r>
        <w:rPr>
          <w:noProof/>
          <w:szCs w:val="20"/>
        </w:rPr>
        <w:drawing>
          <wp:inline distT="0" distB="0" distL="0" distR="0">
            <wp:extent cx="3924935" cy="2769235"/>
            <wp:effectExtent l="19050" t="0" r="0" b="0"/>
            <wp:docPr id="31" name="Picture 31" descr="Line graph showing the difference in indicator prices for baconer pigs since 2010. The price at 1 June 2012 was 293 cents per kilogram dresse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ne graph showing the difference in indicator prices for baconer pigs since 2010. The price at 1 June 2012 was 293 cents per kilogram dressed weight."/>
                    <pic:cNvPicPr>
                      <a:picLocks noChangeAspect="1" noChangeArrowheads="1"/>
                    </pic:cNvPicPr>
                  </pic:nvPicPr>
                  <pic:blipFill>
                    <a:blip r:embed="rId42" cstate="print"/>
                    <a:srcRect/>
                    <a:stretch>
                      <a:fillRect/>
                    </a:stretch>
                  </pic:blipFill>
                  <pic:spPr bwMode="auto">
                    <a:xfrm>
                      <a:off x="0" y="0"/>
                      <a:ext cx="3924935" cy="2769235"/>
                    </a:xfrm>
                    <a:prstGeom prst="rect">
                      <a:avLst/>
                    </a:prstGeom>
                    <a:noFill/>
                    <a:ln w="9525">
                      <a:noFill/>
                      <a:miter lim="800000"/>
                      <a:headEnd/>
                      <a:tailEnd/>
                    </a:ln>
                  </pic:spPr>
                </pic:pic>
              </a:graphicData>
            </a:graphic>
          </wp:inline>
        </w:drawing>
      </w:r>
    </w:p>
    <w:p w:rsidR="003E5A63" w:rsidRDefault="003E5A63"/>
    <w:p w:rsidR="003C5ACC" w:rsidRPr="004A66CF" w:rsidRDefault="003C5ACC" w:rsidP="00466085">
      <w:pPr>
        <w:pStyle w:val="ListParagraph"/>
        <w:numPr>
          <w:ilvl w:val="0"/>
          <w:numId w:val="7"/>
        </w:numPr>
        <w:rPr>
          <w:rFonts w:cs="Arial"/>
          <w:sz w:val="36"/>
          <w:szCs w:val="36"/>
        </w:rPr>
        <w:sectPr w:rsidR="003C5ACC" w:rsidRPr="004A66CF">
          <w:pgSz w:w="16838" w:h="11906" w:orient="landscape"/>
          <w:pgMar w:top="1080" w:right="1440" w:bottom="1080" w:left="1440" w:header="709" w:footer="709" w:gutter="0"/>
          <w:cols w:space="708"/>
          <w:docGrid w:linePitch="360"/>
        </w:sectPr>
      </w:pPr>
    </w:p>
    <w:p w:rsidR="003C5ACC" w:rsidRPr="00027E81" w:rsidRDefault="00B91946" w:rsidP="00E13B78">
      <w:pPr>
        <w:pStyle w:val="Heading2"/>
        <w:numPr>
          <w:ilvl w:val="0"/>
          <w:numId w:val="4"/>
        </w:numPr>
        <w:spacing w:before="0" w:after="0" w:line="276" w:lineRule="auto"/>
        <w:jc w:val="center"/>
        <w:rPr>
          <w:rFonts w:cs="Arial"/>
          <w:b/>
          <w:color w:val="auto"/>
          <w:szCs w:val="34"/>
        </w:rPr>
      </w:pPr>
      <w:r w:rsidRPr="00027E81">
        <w:rPr>
          <w:rFonts w:cs="Arial"/>
          <w:b/>
          <w:color w:val="auto"/>
          <w:szCs w:val="34"/>
        </w:rPr>
        <w:lastRenderedPageBreak/>
        <w:t>Data attribution</w:t>
      </w:r>
    </w:p>
    <w:p w:rsidR="005D22E6" w:rsidRDefault="00B91946">
      <w:pPr>
        <w:pStyle w:val="Heading3"/>
        <w:spacing w:before="0" w:after="60"/>
        <w:rPr>
          <w:rFonts w:ascii="Calibri" w:hAnsi="Calibri" w:cs="Arial"/>
          <w:color w:val="auto"/>
          <w:sz w:val="28"/>
          <w:szCs w:val="28"/>
        </w:rPr>
      </w:pPr>
      <w:r>
        <w:rPr>
          <w:rFonts w:ascii="Calibri" w:hAnsi="Calibri" w:cs="Arial"/>
          <w:color w:val="auto"/>
          <w:sz w:val="28"/>
          <w:szCs w:val="28"/>
        </w:rPr>
        <w:t>Climate</w:t>
      </w:r>
    </w:p>
    <w:p w:rsidR="005D22E6" w:rsidRDefault="00B91946">
      <w:pPr>
        <w:pStyle w:val="ListBullet"/>
        <w:numPr>
          <w:ilvl w:val="0"/>
          <w:numId w:val="0"/>
        </w:numPr>
        <w:spacing w:before="60"/>
        <w:ind w:left="357" w:hanging="357"/>
        <w:rPr>
          <w:rFonts w:ascii="Calibri" w:hAnsi="Calibri"/>
          <w:b/>
        </w:rPr>
      </w:pPr>
      <w:r>
        <w:rPr>
          <w:rFonts w:ascii="Calibri" w:hAnsi="Calibri"/>
          <w:b/>
        </w:rPr>
        <w:t>Bureau of Meteorology</w:t>
      </w:r>
    </w:p>
    <w:p w:rsidR="005D22E6" w:rsidRDefault="00B91946" w:rsidP="002F3C41">
      <w:pPr>
        <w:pStyle w:val="ListBullet"/>
        <w:numPr>
          <w:ilvl w:val="0"/>
          <w:numId w:val="5"/>
        </w:numPr>
        <w:spacing w:before="80"/>
        <w:ind w:left="448" w:hanging="448"/>
        <w:rPr>
          <w:rFonts w:ascii="Calibri" w:hAnsi="Calibri"/>
        </w:rPr>
      </w:pPr>
      <w:r>
        <w:rPr>
          <w:rFonts w:ascii="Calibri" w:hAnsi="Calibri"/>
        </w:rPr>
        <w:t xml:space="preserve">Weekly rainfall totals: </w:t>
      </w:r>
      <w:hyperlink r:id="rId43" w:history="1">
        <w:r>
          <w:rPr>
            <w:rStyle w:val="Hyperlink"/>
            <w:rFonts w:ascii="Calibri" w:hAnsi="Calibri"/>
            <w:color w:val="3333FF"/>
          </w:rPr>
          <w:t>www.bom.gov.au/jsp/awap/rain/index.jsp</w:t>
        </w:r>
      </w:hyperlink>
    </w:p>
    <w:p w:rsidR="005D22E6" w:rsidRDefault="00B91946" w:rsidP="002F3C41">
      <w:pPr>
        <w:pStyle w:val="ListBullet"/>
        <w:numPr>
          <w:ilvl w:val="0"/>
          <w:numId w:val="5"/>
        </w:numPr>
        <w:spacing w:before="80"/>
        <w:ind w:left="448" w:hanging="448"/>
        <w:rPr>
          <w:rFonts w:ascii="Calibri" w:hAnsi="Calibri"/>
        </w:rPr>
      </w:pPr>
      <w:r>
        <w:rPr>
          <w:rFonts w:ascii="Calibri" w:hAnsi="Calibri"/>
        </w:rPr>
        <w:t xml:space="preserve">Monthly and last 3-months rainfall percentiles: </w:t>
      </w:r>
      <w:hyperlink r:id="rId44" w:history="1">
        <w:r>
          <w:rPr>
            <w:rStyle w:val="Hyperlink"/>
            <w:rFonts w:ascii="Calibri" w:hAnsi="Calibri"/>
          </w:rPr>
          <w:t>www.bom.gov.au/jsp/awap/</w:t>
        </w:r>
      </w:hyperlink>
    </w:p>
    <w:p w:rsidR="005D22E6" w:rsidRDefault="00B91946" w:rsidP="002F3C41">
      <w:pPr>
        <w:pStyle w:val="ListBullet"/>
        <w:numPr>
          <w:ilvl w:val="0"/>
          <w:numId w:val="5"/>
        </w:numPr>
        <w:spacing w:before="80"/>
        <w:ind w:left="448" w:hanging="448"/>
        <w:rPr>
          <w:rFonts w:ascii="Calibri" w:hAnsi="Calibri"/>
        </w:rPr>
      </w:pPr>
      <w:r>
        <w:rPr>
          <w:rFonts w:ascii="Calibri" w:hAnsi="Calibri"/>
        </w:rPr>
        <w:t xml:space="preserve">Temperature anomalies: </w:t>
      </w:r>
      <w:hyperlink r:id="rId45" w:history="1">
        <w:r>
          <w:rPr>
            <w:rStyle w:val="Hyperlink"/>
            <w:rFonts w:ascii="Calibri" w:hAnsi="Calibri"/>
          </w:rPr>
          <w:t>www.bom.gov.au/jsp/awap/</w:t>
        </w:r>
      </w:hyperlink>
    </w:p>
    <w:p w:rsidR="005D22E6" w:rsidRDefault="00B91946" w:rsidP="002F3C41">
      <w:pPr>
        <w:pStyle w:val="ListBullet"/>
        <w:numPr>
          <w:ilvl w:val="0"/>
          <w:numId w:val="5"/>
        </w:numPr>
        <w:spacing w:before="80"/>
        <w:ind w:left="448" w:hanging="448"/>
        <w:rPr>
          <w:rFonts w:ascii="Calibri" w:hAnsi="Calibri"/>
        </w:rPr>
      </w:pPr>
      <w:r>
        <w:rPr>
          <w:rFonts w:ascii="Calibri" w:hAnsi="Calibri"/>
        </w:rPr>
        <w:t xml:space="preserve">Rainfall forecast: </w:t>
      </w:r>
      <w:hyperlink r:id="rId46" w:history="1">
        <w:r>
          <w:rPr>
            <w:rStyle w:val="Hyperlink"/>
            <w:rFonts w:ascii="Calibri" w:hAnsi="Calibri"/>
            <w:color w:val="3333FF"/>
          </w:rPr>
          <w:t>www.bom.gov.au/jsp/watl/rainfall/pme.jsp</w:t>
        </w:r>
      </w:hyperlink>
    </w:p>
    <w:p w:rsidR="005D22E6" w:rsidRDefault="00B91946" w:rsidP="002F3C41">
      <w:pPr>
        <w:pStyle w:val="ListBullet"/>
        <w:numPr>
          <w:ilvl w:val="0"/>
          <w:numId w:val="5"/>
        </w:numPr>
        <w:spacing w:before="80"/>
        <w:ind w:left="448" w:hanging="448"/>
        <w:rPr>
          <w:rFonts w:ascii="Calibri" w:hAnsi="Calibri"/>
        </w:rPr>
      </w:pPr>
      <w:r>
        <w:rPr>
          <w:rFonts w:ascii="Calibri" w:hAnsi="Calibri"/>
        </w:rPr>
        <w:t xml:space="preserve">Seasonal outlook: </w:t>
      </w:r>
      <w:hyperlink r:id="rId47" w:history="1">
        <w:r>
          <w:rPr>
            <w:rStyle w:val="Hyperlink"/>
            <w:rFonts w:ascii="Calibri" w:hAnsi="Calibri"/>
            <w:color w:val="3333FF"/>
          </w:rPr>
          <w:t>www.bom.gov.au/climate/ahead</w:t>
        </w:r>
      </w:hyperlink>
    </w:p>
    <w:p w:rsidR="005D22E6" w:rsidRDefault="00B91946" w:rsidP="002F3C41">
      <w:pPr>
        <w:pStyle w:val="ListBullet"/>
        <w:numPr>
          <w:ilvl w:val="0"/>
          <w:numId w:val="5"/>
        </w:numPr>
        <w:spacing w:before="80"/>
        <w:ind w:left="448" w:hanging="448"/>
        <w:rPr>
          <w:rFonts w:ascii="Calibri" w:hAnsi="Calibri"/>
        </w:rPr>
      </w:pPr>
      <w:r>
        <w:rPr>
          <w:rFonts w:ascii="Calibri" w:hAnsi="Calibri"/>
        </w:rPr>
        <w:t xml:space="preserve">Drought statement: </w:t>
      </w:r>
      <w:hyperlink r:id="rId48" w:history="1">
        <w:r>
          <w:rPr>
            <w:rStyle w:val="Hyperlink"/>
            <w:rFonts w:ascii="Calibri" w:hAnsi="Calibri"/>
            <w:color w:val="3333FF"/>
          </w:rPr>
          <w:t>www.bom.gov.au/climate/drought/drought.shtml</w:t>
        </w:r>
      </w:hyperlink>
    </w:p>
    <w:p w:rsidR="005D22E6" w:rsidRDefault="00B91946" w:rsidP="002F3C41">
      <w:pPr>
        <w:pStyle w:val="ListBullet"/>
        <w:numPr>
          <w:ilvl w:val="0"/>
          <w:numId w:val="5"/>
        </w:numPr>
        <w:spacing w:before="80"/>
        <w:ind w:left="448" w:hanging="448"/>
        <w:rPr>
          <w:rFonts w:ascii="Calibri" w:hAnsi="Calibri"/>
        </w:rPr>
      </w:pPr>
      <w:r>
        <w:rPr>
          <w:rFonts w:ascii="Calibri" w:hAnsi="Calibri"/>
        </w:rPr>
        <w:t xml:space="preserve">ENSO Wrap-Up: </w:t>
      </w:r>
      <w:hyperlink r:id="rId49" w:history="1">
        <w:r>
          <w:rPr>
            <w:rStyle w:val="Hyperlink"/>
            <w:rFonts w:ascii="Calibri" w:hAnsi="Calibri"/>
            <w:color w:val="3333FF"/>
          </w:rPr>
          <w:t>www.bom.gov.au/climate/enso/</w:t>
        </w:r>
      </w:hyperlink>
    </w:p>
    <w:p w:rsidR="005D22E6" w:rsidRDefault="00B91946" w:rsidP="002F3C41">
      <w:pPr>
        <w:pStyle w:val="ListBullet"/>
        <w:numPr>
          <w:ilvl w:val="0"/>
          <w:numId w:val="5"/>
        </w:numPr>
        <w:spacing w:before="80"/>
        <w:ind w:left="448" w:hanging="448"/>
        <w:rPr>
          <w:rFonts w:ascii="Calibri" w:hAnsi="Calibri"/>
        </w:rPr>
      </w:pPr>
      <w:r>
        <w:rPr>
          <w:rFonts w:ascii="Calibri" w:hAnsi="Calibri"/>
        </w:rPr>
        <w:t>Soil moisture (</w:t>
      </w:r>
      <w:proofErr w:type="spellStart"/>
      <w:r>
        <w:rPr>
          <w:rFonts w:ascii="Calibri" w:hAnsi="Calibri"/>
        </w:rPr>
        <w:t>BoM</w:t>
      </w:r>
      <w:proofErr w:type="spellEnd"/>
      <w:r>
        <w:rPr>
          <w:rFonts w:ascii="Calibri" w:hAnsi="Calibri"/>
        </w:rPr>
        <w:t xml:space="preserve">, CSIRO and the former Bureau of Rural Sciences): </w:t>
      </w:r>
      <w:hyperlink r:id="rId50" w:history="1">
        <w:r>
          <w:rPr>
            <w:rStyle w:val="Hyperlink"/>
            <w:rFonts w:ascii="Calibri" w:hAnsi="Calibri" w:cs="Arial"/>
            <w:color w:val="3333FF"/>
          </w:rPr>
          <w:t>www.eoc.csiro.au/</w:t>
        </w:r>
        <w:r>
          <w:rPr>
            <w:rStyle w:val="Hyperlink"/>
            <w:rFonts w:ascii="Calibri" w:hAnsi="Calibri" w:cs="Arial"/>
            <w:bCs/>
            <w:color w:val="3333FF"/>
          </w:rPr>
          <w:t>awap</w:t>
        </w:r>
        <w:r>
          <w:rPr>
            <w:rStyle w:val="Hyperlink"/>
            <w:rFonts w:ascii="Calibri" w:hAnsi="Calibri" w:cs="Arial"/>
            <w:color w:val="3333FF"/>
          </w:rPr>
          <w:t>/</w:t>
        </w:r>
      </w:hyperlink>
    </w:p>
    <w:p w:rsidR="005D22E6" w:rsidRDefault="00B91946">
      <w:pPr>
        <w:pStyle w:val="Heading3"/>
        <w:spacing w:before="0" w:after="60"/>
        <w:rPr>
          <w:rFonts w:ascii="Calibri" w:hAnsi="Calibri" w:cs="Arial"/>
          <w:color w:val="auto"/>
          <w:sz w:val="28"/>
          <w:szCs w:val="28"/>
        </w:rPr>
      </w:pPr>
      <w:r>
        <w:rPr>
          <w:rFonts w:ascii="Calibri" w:hAnsi="Calibri" w:cs="Arial"/>
          <w:color w:val="auto"/>
          <w:sz w:val="28"/>
          <w:szCs w:val="28"/>
        </w:rPr>
        <w:t>Water</w:t>
      </w:r>
    </w:p>
    <w:p w:rsidR="005D22E6" w:rsidRDefault="00B91946">
      <w:pPr>
        <w:pStyle w:val="ListBullet"/>
        <w:numPr>
          <w:ilvl w:val="0"/>
          <w:numId w:val="0"/>
        </w:numPr>
        <w:spacing w:before="60"/>
        <w:ind w:left="357" w:hanging="357"/>
        <w:rPr>
          <w:rFonts w:ascii="Calibri" w:hAnsi="Calibri"/>
          <w:b/>
        </w:rPr>
      </w:pPr>
      <w:r>
        <w:rPr>
          <w:rFonts w:ascii="Calibri" w:hAnsi="Calibri"/>
          <w:b/>
        </w:rPr>
        <w:t>New South Wales</w:t>
      </w:r>
    </w:p>
    <w:p w:rsidR="005D22E6" w:rsidRDefault="00B91946" w:rsidP="002F3C41">
      <w:pPr>
        <w:pStyle w:val="ListBullet"/>
        <w:numPr>
          <w:ilvl w:val="0"/>
          <w:numId w:val="5"/>
        </w:numPr>
        <w:spacing w:before="80"/>
        <w:ind w:left="448" w:hanging="448"/>
        <w:rPr>
          <w:rFonts w:ascii="Calibri" w:hAnsi="Calibri"/>
        </w:rPr>
      </w:pPr>
      <w:r>
        <w:rPr>
          <w:rFonts w:ascii="Calibri" w:hAnsi="Calibri"/>
        </w:rPr>
        <w:t xml:space="preserve">New South Wales Water Information: </w:t>
      </w:r>
      <w:hyperlink r:id="rId51" w:history="1">
        <w:r>
          <w:rPr>
            <w:rStyle w:val="Hyperlink"/>
            <w:rFonts w:ascii="Calibri" w:hAnsi="Calibri"/>
            <w:color w:val="3333FF"/>
          </w:rPr>
          <w:t>http://waterinfo.nsw.gov.au/</w:t>
        </w:r>
      </w:hyperlink>
    </w:p>
    <w:p w:rsidR="005D22E6" w:rsidRDefault="00B91946" w:rsidP="002F3C41">
      <w:pPr>
        <w:numPr>
          <w:ilvl w:val="0"/>
          <w:numId w:val="5"/>
        </w:numPr>
        <w:spacing w:before="80" w:line="288" w:lineRule="auto"/>
        <w:ind w:left="448" w:hanging="448"/>
        <w:rPr>
          <w:rFonts w:ascii="Calibri" w:hAnsi="Calibri"/>
          <w:sz w:val="20"/>
        </w:rPr>
      </w:pPr>
      <w:r>
        <w:rPr>
          <w:rFonts w:ascii="Calibri" w:hAnsi="Calibri"/>
          <w:sz w:val="20"/>
        </w:rPr>
        <w:t xml:space="preserve">New South Wales Office of Water, Department of Environment, Climate Change and Water: </w:t>
      </w:r>
      <w:hyperlink r:id="rId52" w:history="1">
        <w:r>
          <w:rPr>
            <w:rStyle w:val="Hyperlink"/>
            <w:rFonts w:ascii="Calibri" w:hAnsi="Calibri"/>
            <w:color w:val="3333FF"/>
            <w:sz w:val="20"/>
          </w:rPr>
          <w:t>www.water.nsw.gov.au/Home/default.aspx</w:t>
        </w:r>
      </w:hyperlink>
    </w:p>
    <w:p w:rsidR="005D22E6" w:rsidRDefault="00B91946" w:rsidP="002F3C41">
      <w:pPr>
        <w:numPr>
          <w:ilvl w:val="0"/>
          <w:numId w:val="5"/>
        </w:numPr>
        <w:spacing w:before="80" w:line="288" w:lineRule="auto"/>
        <w:ind w:left="448" w:hanging="448"/>
        <w:rPr>
          <w:rFonts w:ascii="Calibri" w:hAnsi="Calibri"/>
          <w:sz w:val="20"/>
        </w:rPr>
      </w:pPr>
      <w:r>
        <w:rPr>
          <w:rFonts w:ascii="Calibri" w:hAnsi="Calibri"/>
          <w:sz w:val="20"/>
        </w:rPr>
        <w:t xml:space="preserve">Available water determinations register: </w:t>
      </w:r>
      <w:hyperlink r:id="rId53" w:history="1">
        <w:r>
          <w:rPr>
            <w:rStyle w:val="Hyperlink"/>
            <w:rFonts w:ascii="Calibri" w:hAnsi="Calibri"/>
            <w:color w:val="3333FF"/>
            <w:sz w:val="20"/>
          </w:rPr>
          <w:t>www.wix.nsw.gov.au/wma/DeterminationSearch.jsp?selectedRegister=Determination</w:t>
        </w:r>
      </w:hyperlink>
    </w:p>
    <w:p w:rsidR="005D22E6" w:rsidRDefault="00B91946" w:rsidP="002F3C41">
      <w:pPr>
        <w:pStyle w:val="ListBullet"/>
        <w:numPr>
          <w:ilvl w:val="0"/>
          <w:numId w:val="5"/>
        </w:numPr>
        <w:spacing w:before="80"/>
        <w:ind w:left="448" w:hanging="448"/>
        <w:rPr>
          <w:rFonts w:ascii="Calibri" w:hAnsi="Calibri"/>
        </w:rPr>
      </w:pPr>
      <w:r>
        <w:rPr>
          <w:rFonts w:ascii="Calibri" w:hAnsi="Calibri"/>
        </w:rPr>
        <w:t xml:space="preserve">Snowy Hydro: </w:t>
      </w:r>
      <w:hyperlink r:id="rId54" w:history="1">
        <w:r>
          <w:rPr>
            <w:rStyle w:val="Hyperlink"/>
            <w:rFonts w:ascii="Calibri" w:hAnsi="Calibri"/>
            <w:color w:val="3333FF"/>
            <w:lang w:val="en-US"/>
          </w:rPr>
          <w:t>www.snowyhydro.com.au/lakeLevels.asp?pageID=47&amp;parentID=61&amp;grandParentID=4</w:t>
        </w:r>
      </w:hyperlink>
    </w:p>
    <w:p w:rsidR="005D22E6" w:rsidRDefault="00B91946">
      <w:pPr>
        <w:pStyle w:val="ListBullet"/>
        <w:numPr>
          <w:ilvl w:val="0"/>
          <w:numId w:val="0"/>
        </w:numPr>
        <w:spacing w:before="60"/>
        <w:ind w:left="357" w:hanging="357"/>
        <w:rPr>
          <w:rFonts w:ascii="Calibri" w:hAnsi="Calibri"/>
          <w:b/>
        </w:rPr>
      </w:pPr>
      <w:r>
        <w:rPr>
          <w:rFonts w:ascii="Calibri" w:hAnsi="Calibri"/>
          <w:b/>
        </w:rPr>
        <w:t>Queensland</w:t>
      </w:r>
    </w:p>
    <w:p w:rsidR="005D22E6" w:rsidRDefault="00B91946" w:rsidP="002F3C41">
      <w:pPr>
        <w:pStyle w:val="ListBullet"/>
        <w:numPr>
          <w:ilvl w:val="0"/>
          <w:numId w:val="5"/>
        </w:numPr>
        <w:spacing w:before="80"/>
        <w:ind w:left="448" w:hanging="448"/>
        <w:rPr>
          <w:rFonts w:ascii="Calibri" w:hAnsi="Calibri"/>
          <w:b/>
        </w:rPr>
      </w:pPr>
      <w:proofErr w:type="spellStart"/>
      <w:r>
        <w:rPr>
          <w:rFonts w:ascii="Calibri" w:hAnsi="Calibri"/>
        </w:rPr>
        <w:t>Sunwater</w:t>
      </w:r>
      <w:proofErr w:type="spellEnd"/>
      <w:r>
        <w:rPr>
          <w:rFonts w:ascii="Calibri" w:hAnsi="Calibri"/>
        </w:rPr>
        <w:t xml:space="preserve">: </w:t>
      </w:r>
      <w:hyperlink r:id="rId55" w:history="1">
        <w:r>
          <w:rPr>
            <w:rStyle w:val="Hyperlink"/>
            <w:rFonts w:ascii="Calibri" w:hAnsi="Calibri"/>
            <w:color w:val="3333FF"/>
          </w:rPr>
          <w:t>www.sunwater.com.au</w:t>
        </w:r>
      </w:hyperlink>
    </w:p>
    <w:p w:rsidR="005D22E6" w:rsidRDefault="00B91946" w:rsidP="002F3C41">
      <w:pPr>
        <w:pStyle w:val="ListBullet"/>
        <w:numPr>
          <w:ilvl w:val="0"/>
          <w:numId w:val="5"/>
        </w:numPr>
        <w:spacing w:before="80"/>
        <w:ind w:left="448" w:hanging="448"/>
        <w:rPr>
          <w:rFonts w:ascii="Calibri" w:hAnsi="Calibri"/>
        </w:rPr>
      </w:pPr>
      <w:proofErr w:type="spellStart"/>
      <w:r>
        <w:rPr>
          <w:rFonts w:ascii="Calibri" w:hAnsi="Calibri"/>
        </w:rPr>
        <w:t>seqwater</w:t>
      </w:r>
      <w:proofErr w:type="spellEnd"/>
      <w:r>
        <w:rPr>
          <w:rFonts w:ascii="Calibri" w:hAnsi="Calibri"/>
        </w:rPr>
        <w:t xml:space="preserve">: </w:t>
      </w:r>
      <w:hyperlink r:id="rId56" w:history="1">
        <w:r>
          <w:rPr>
            <w:rStyle w:val="Hyperlink"/>
            <w:rFonts w:ascii="Calibri" w:hAnsi="Calibri"/>
            <w:color w:val="3333FF"/>
          </w:rPr>
          <w:t>http://seqwater.com.au</w:t>
        </w:r>
      </w:hyperlink>
    </w:p>
    <w:p w:rsidR="005D22E6" w:rsidRDefault="00B91946">
      <w:pPr>
        <w:pStyle w:val="ListBullet"/>
        <w:numPr>
          <w:ilvl w:val="0"/>
          <w:numId w:val="0"/>
        </w:numPr>
        <w:spacing w:before="60"/>
        <w:ind w:left="357" w:hanging="357"/>
        <w:rPr>
          <w:rFonts w:ascii="Calibri" w:hAnsi="Calibri"/>
          <w:b/>
        </w:rPr>
      </w:pPr>
      <w:r>
        <w:rPr>
          <w:rFonts w:ascii="Calibri" w:hAnsi="Calibri"/>
          <w:b/>
        </w:rPr>
        <w:t>South Australia</w:t>
      </w:r>
    </w:p>
    <w:p w:rsidR="005D22E6" w:rsidRDefault="00B91946" w:rsidP="002F3C41">
      <w:pPr>
        <w:pStyle w:val="ListBullet"/>
        <w:numPr>
          <w:ilvl w:val="0"/>
          <w:numId w:val="5"/>
        </w:numPr>
        <w:spacing w:before="80"/>
        <w:ind w:left="448" w:hanging="448"/>
        <w:rPr>
          <w:rFonts w:ascii="Calibri" w:hAnsi="Calibri"/>
        </w:rPr>
      </w:pPr>
      <w:r>
        <w:rPr>
          <w:rFonts w:ascii="Calibri" w:hAnsi="Calibri"/>
        </w:rPr>
        <w:t xml:space="preserve">SA Water: </w:t>
      </w:r>
      <w:hyperlink r:id="rId57" w:history="1">
        <w:r>
          <w:rPr>
            <w:rStyle w:val="Hyperlink"/>
            <w:rFonts w:ascii="Calibri" w:hAnsi="Calibri"/>
            <w:color w:val="3333FF"/>
          </w:rPr>
          <w:t>www.sawater.com.au/SAWater/Environment/TheRiverMurray/River+Murray+Levels.htm</w:t>
        </w:r>
      </w:hyperlink>
    </w:p>
    <w:p w:rsidR="005D22E6" w:rsidRDefault="00B91946" w:rsidP="002F3C41">
      <w:pPr>
        <w:numPr>
          <w:ilvl w:val="0"/>
          <w:numId w:val="5"/>
        </w:numPr>
        <w:spacing w:before="80" w:line="288" w:lineRule="auto"/>
        <w:ind w:left="448" w:hanging="448"/>
        <w:rPr>
          <w:rFonts w:ascii="Calibri" w:hAnsi="Calibri"/>
          <w:sz w:val="20"/>
        </w:rPr>
      </w:pPr>
      <w:r>
        <w:rPr>
          <w:rFonts w:ascii="Calibri" w:hAnsi="Calibri"/>
          <w:sz w:val="20"/>
        </w:rPr>
        <w:t xml:space="preserve">South Australian Department of Water: </w:t>
      </w:r>
      <w:hyperlink r:id="rId58" w:history="1">
        <w:r>
          <w:rPr>
            <w:rStyle w:val="Hyperlink"/>
            <w:rFonts w:ascii="Calibri" w:hAnsi="Calibri"/>
            <w:color w:val="3333FF"/>
            <w:sz w:val="20"/>
          </w:rPr>
          <w:t>www.waterforgood.sa.gov.au/</w:t>
        </w:r>
      </w:hyperlink>
    </w:p>
    <w:p w:rsidR="005D22E6" w:rsidRDefault="00B91946">
      <w:pPr>
        <w:pStyle w:val="ListBullet"/>
        <w:numPr>
          <w:ilvl w:val="0"/>
          <w:numId w:val="0"/>
        </w:numPr>
        <w:spacing w:before="60"/>
        <w:ind w:left="357" w:hanging="357"/>
        <w:rPr>
          <w:rFonts w:ascii="Calibri" w:hAnsi="Calibri"/>
          <w:b/>
        </w:rPr>
      </w:pPr>
      <w:r>
        <w:rPr>
          <w:rFonts w:ascii="Calibri" w:hAnsi="Calibri"/>
          <w:b/>
        </w:rPr>
        <w:t>Victoria</w:t>
      </w:r>
    </w:p>
    <w:p w:rsidR="005D22E6" w:rsidRDefault="00B91946" w:rsidP="002F3C41">
      <w:pPr>
        <w:pStyle w:val="ListBullet"/>
        <w:numPr>
          <w:ilvl w:val="0"/>
          <w:numId w:val="5"/>
        </w:numPr>
        <w:spacing w:before="80"/>
        <w:ind w:left="448" w:hanging="448"/>
        <w:rPr>
          <w:rFonts w:ascii="Calibri" w:hAnsi="Calibri"/>
          <w:b/>
        </w:rPr>
      </w:pPr>
      <w:r>
        <w:rPr>
          <w:rFonts w:ascii="Calibri" w:hAnsi="Calibri"/>
        </w:rPr>
        <w:t xml:space="preserve">Goulburn–Murray Water: </w:t>
      </w:r>
      <w:hyperlink r:id="rId59" w:history="1">
        <w:r>
          <w:rPr>
            <w:rStyle w:val="Hyperlink"/>
            <w:rFonts w:ascii="Calibri" w:hAnsi="Calibri"/>
            <w:color w:val="3333FF"/>
          </w:rPr>
          <w:t>www.g-mwater.com.au</w:t>
        </w:r>
      </w:hyperlink>
    </w:p>
    <w:p w:rsidR="005D22E6" w:rsidRDefault="00B91946">
      <w:pPr>
        <w:pStyle w:val="ListBullet"/>
        <w:numPr>
          <w:ilvl w:val="0"/>
          <w:numId w:val="0"/>
        </w:numPr>
        <w:spacing w:before="60"/>
        <w:ind w:left="357" w:hanging="357"/>
        <w:rPr>
          <w:rFonts w:ascii="Calibri" w:hAnsi="Calibri"/>
          <w:b/>
        </w:rPr>
      </w:pPr>
      <w:r>
        <w:rPr>
          <w:rFonts w:ascii="Calibri" w:hAnsi="Calibri"/>
          <w:b/>
        </w:rPr>
        <w:t>Water trading</w:t>
      </w:r>
    </w:p>
    <w:p w:rsidR="003C5ACC" w:rsidRDefault="00B91946" w:rsidP="002F3C41">
      <w:pPr>
        <w:pStyle w:val="ListBullet"/>
        <w:numPr>
          <w:ilvl w:val="0"/>
          <w:numId w:val="5"/>
        </w:numPr>
        <w:rPr>
          <w:rFonts w:ascii="Calibri" w:hAnsi="Calibri"/>
        </w:rPr>
      </w:pPr>
      <w:proofErr w:type="spellStart"/>
      <w:r>
        <w:rPr>
          <w:rFonts w:ascii="Calibri" w:hAnsi="Calibri"/>
        </w:rPr>
        <w:t>Waterexchange</w:t>
      </w:r>
      <w:proofErr w:type="spellEnd"/>
      <w:r>
        <w:rPr>
          <w:rFonts w:ascii="Calibri" w:hAnsi="Calibri"/>
        </w:rPr>
        <w:t xml:space="preserve">: </w:t>
      </w:r>
      <w:hyperlink r:id="rId60" w:history="1">
        <w:r>
          <w:rPr>
            <w:rStyle w:val="Hyperlink"/>
            <w:rFonts w:ascii="Calibri" w:hAnsi="Calibri"/>
            <w:color w:val="3333FF"/>
          </w:rPr>
          <w:t>www.waterexchange.com.au</w:t>
        </w:r>
      </w:hyperlink>
    </w:p>
    <w:p w:rsidR="005D22E6" w:rsidRDefault="00B91946">
      <w:pPr>
        <w:pStyle w:val="Heading3"/>
        <w:spacing w:before="0" w:after="60"/>
        <w:rPr>
          <w:rFonts w:ascii="Calibri" w:hAnsi="Calibri" w:cs="Arial"/>
          <w:color w:val="auto"/>
          <w:sz w:val="28"/>
          <w:szCs w:val="28"/>
        </w:rPr>
      </w:pPr>
      <w:r>
        <w:rPr>
          <w:rFonts w:ascii="Calibri" w:hAnsi="Calibri" w:cs="Arial"/>
          <w:color w:val="auto"/>
          <w:sz w:val="28"/>
          <w:szCs w:val="28"/>
        </w:rPr>
        <w:t>Commodities</w:t>
      </w:r>
    </w:p>
    <w:p w:rsidR="005D22E6" w:rsidRDefault="00B91946">
      <w:pPr>
        <w:pStyle w:val="ListBullet"/>
        <w:numPr>
          <w:ilvl w:val="0"/>
          <w:numId w:val="0"/>
        </w:numPr>
        <w:spacing w:before="60"/>
        <w:ind w:left="357" w:hanging="357"/>
        <w:rPr>
          <w:rFonts w:ascii="Calibri" w:hAnsi="Calibri"/>
          <w:b/>
        </w:rPr>
      </w:pPr>
      <w:r>
        <w:rPr>
          <w:rFonts w:ascii="Calibri" w:hAnsi="Calibri"/>
          <w:b/>
        </w:rPr>
        <w:t>Fruit and vegetables</w:t>
      </w:r>
    </w:p>
    <w:p w:rsidR="003C5ACC" w:rsidRDefault="00B91946" w:rsidP="002F3C41">
      <w:pPr>
        <w:pStyle w:val="ListBullet"/>
        <w:numPr>
          <w:ilvl w:val="0"/>
          <w:numId w:val="5"/>
        </w:numPr>
        <w:rPr>
          <w:rFonts w:ascii="Calibri" w:hAnsi="Calibri"/>
          <w:b/>
        </w:rPr>
      </w:pPr>
      <w:proofErr w:type="spellStart"/>
      <w:r>
        <w:rPr>
          <w:rFonts w:ascii="Calibri" w:hAnsi="Calibri"/>
        </w:rPr>
        <w:t>Datafresh</w:t>
      </w:r>
      <w:proofErr w:type="spellEnd"/>
      <w:r>
        <w:rPr>
          <w:rFonts w:ascii="Calibri" w:hAnsi="Calibri"/>
        </w:rPr>
        <w:t xml:space="preserve">: </w:t>
      </w:r>
      <w:hyperlink r:id="rId61" w:history="1">
        <w:r>
          <w:rPr>
            <w:rStyle w:val="Hyperlink"/>
            <w:rFonts w:ascii="Calibri" w:hAnsi="Calibri"/>
            <w:color w:val="3333FF"/>
          </w:rPr>
          <w:t>www.datafresh.com.au</w:t>
        </w:r>
      </w:hyperlink>
    </w:p>
    <w:p w:rsidR="005D22E6" w:rsidRDefault="00B91946">
      <w:pPr>
        <w:pStyle w:val="ListBullet"/>
        <w:numPr>
          <w:ilvl w:val="0"/>
          <w:numId w:val="0"/>
        </w:numPr>
        <w:spacing w:before="60"/>
        <w:ind w:left="357" w:hanging="357"/>
        <w:rPr>
          <w:rFonts w:ascii="Calibri" w:hAnsi="Calibri"/>
          <w:b/>
        </w:rPr>
      </w:pPr>
      <w:r>
        <w:rPr>
          <w:rFonts w:ascii="Calibri" w:hAnsi="Calibri"/>
          <w:b/>
        </w:rPr>
        <w:t>Mutton, lambs, wheat, barley and grain sorghum</w:t>
      </w:r>
    </w:p>
    <w:p w:rsidR="003C5ACC" w:rsidRDefault="00B91946" w:rsidP="002F3C41">
      <w:pPr>
        <w:pStyle w:val="ListBullet"/>
        <w:numPr>
          <w:ilvl w:val="0"/>
          <w:numId w:val="5"/>
        </w:numPr>
        <w:rPr>
          <w:rFonts w:ascii="Calibri" w:hAnsi="Calibri"/>
          <w:b/>
        </w:rPr>
      </w:pPr>
      <w:r>
        <w:rPr>
          <w:rFonts w:ascii="Calibri" w:hAnsi="Calibri"/>
        </w:rPr>
        <w:t xml:space="preserve">The Land: hardcopy or online at </w:t>
      </w:r>
      <w:hyperlink r:id="rId62" w:history="1">
        <w:r>
          <w:rPr>
            <w:rStyle w:val="Hyperlink"/>
            <w:rFonts w:ascii="Calibri" w:hAnsi="Calibri"/>
            <w:color w:val="3333FF"/>
          </w:rPr>
          <w:t>http://theland.farmonline.com.au/markets.aspx</w:t>
        </w:r>
      </w:hyperlink>
    </w:p>
    <w:p w:rsidR="005D22E6" w:rsidRDefault="00B91946">
      <w:pPr>
        <w:pStyle w:val="ListBullet"/>
        <w:numPr>
          <w:ilvl w:val="0"/>
          <w:numId w:val="0"/>
        </w:numPr>
        <w:spacing w:before="60"/>
        <w:ind w:left="357" w:hanging="357"/>
        <w:rPr>
          <w:rFonts w:ascii="Calibri" w:hAnsi="Calibri"/>
          <w:b/>
        </w:rPr>
      </w:pPr>
      <w:r>
        <w:rPr>
          <w:rFonts w:ascii="Calibri" w:hAnsi="Calibri"/>
          <w:b/>
        </w:rPr>
        <w:t>Cattle, mutton, lambs and pigs</w:t>
      </w:r>
    </w:p>
    <w:p w:rsidR="003C5ACC" w:rsidRDefault="00B91946" w:rsidP="002F3C41">
      <w:pPr>
        <w:pStyle w:val="ListBullet"/>
        <w:numPr>
          <w:ilvl w:val="0"/>
          <w:numId w:val="5"/>
        </w:numPr>
        <w:rPr>
          <w:rFonts w:ascii="Calibri" w:hAnsi="Calibri"/>
          <w:b/>
        </w:rPr>
      </w:pPr>
      <w:r>
        <w:rPr>
          <w:rFonts w:ascii="Calibri" w:hAnsi="Calibri"/>
        </w:rPr>
        <w:t xml:space="preserve">Meat and Livestock Australia: </w:t>
      </w:r>
      <w:hyperlink r:id="rId63" w:history="1">
        <w:r>
          <w:rPr>
            <w:rStyle w:val="Hyperlink"/>
            <w:rFonts w:ascii="Calibri" w:hAnsi="Calibri"/>
            <w:color w:val="3333FF"/>
          </w:rPr>
          <w:t>www.mla.com.au/Prices-and-markets</w:t>
        </w:r>
      </w:hyperlink>
    </w:p>
    <w:p w:rsidR="005D22E6" w:rsidRDefault="00B91946">
      <w:pPr>
        <w:pStyle w:val="ListBullet"/>
        <w:numPr>
          <w:ilvl w:val="0"/>
          <w:numId w:val="0"/>
        </w:numPr>
        <w:spacing w:before="60"/>
        <w:ind w:left="357" w:hanging="357"/>
        <w:rPr>
          <w:rFonts w:ascii="Calibri" w:hAnsi="Calibri"/>
          <w:b/>
        </w:rPr>
      </w:pPr>
      <w:r>
        <w:rPr>
          <w:rFonts w:ascii="Calibri" w:hAnsi="Calibri"/>
          <w:b/>
        </w:rPr>
        <w:t>Canola</w:t>
      </w:r>
    </w:p>
    <w:p w:rsidR="005D22E6" w:rsidRDefault="00B91946" w:rsidP="002F3C41">
      <w:pPr>
        <w:pStyle w:val="ListBullet"/>
        <w:numPr>
          <w:ilvl w:val="0"/>
          <w:numId w:val="5"/>
        </w:numPr>
        <w:rPr>
          <w:rFonts w:ascii="Calibri" w:hAnsi="Calibri"/>
        </w:rPr>
      </w:pPr>
      <w:r>
        <w:rPr>
          <w:rFonts w:ascii="Calibri" w:hAnsi="Calibri"/>
        </w:rPr>
        <w:t>Weekly Times: hardcopy</w:t>
      </w:r>
    </w:p>
    <w:p w:rsidR="005D22E6" w:rsidRPr="00FD78D7" w:rsidRDefault="005D22E6">
      <w:pPr>
        <w:pStyle w:val="Heading3"/>
        <w:keepNext w:val="0"/>
        <w:keepLines w:val="0"/>
        <w:widowControl w:val="0"/>
        <w:spacing w:before="0" w:line="276" w:lineRule="auto"/>
        <w:rPr>
          <w:rFonts w:cs="Arial"/>
          <w:color w:val="auto"/>
          <w:sz w:val="22"/>
          <w:szCs w:val="22"/>
        </w:rPr>
      </w:pPr>
    </w:p>
    <w:sectPr w:rsidR="005D22E6" w:rsidRPr="00FD78D7" w:rsidSect="003C5ACC">
      <w:pgSz w:w="11906" w:h="16838"/>
      <w:pgMar w:top="851" w:right="1077" w:bottom="1440"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62C" w:rsidRDefault="00AD762C">
      <w:r>
        <w:separator/>
      </w:r>
    </w:p>
  </w:endnote>
  <w:endnote w:type="continuationSeparator" w:id="0">
    <w:p w:rsidR="00AD762C" w:rsidRDefault="00AD76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6CE" w:rsidRDefault="001E66CE">
    <w:pPr>
      <w:pStyle w:val="Footer"/>
    </w:pPr>
  </w:p>
  <w:p w:rsidR="001E66CE" w:rsidRDefault="001E66C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6CE" w:rsidRDefault="001E66CE">
    <w:pPr>
      <w:pStyle w:val="Footer"/>
      <w:pBdr>
        <w:top w:val="single" w:sz="4" w:space="1" w:color="auto"/>
      </w:pBdr>
      <w:jc w:val="center"/>
      <w:rPr>
        <w:rFonts w:ascii="Arial" w:hAnsi="Arial" w:cs="Arial"/>
        <w:sz w:val="20"/>
        <w:szCs w:val="20"/>
      </w:rPr>
    </w:pPr>
    <w:r>
      <w:rPr>
        <w:rFonts w:ascii="Arial" w:hAnsi="Arial" w:cs="Arial"/>
        <w:sz w:val="20"/>
        <w:szCs w:val="20"/>
      </w:rPr>
      <w:t xml:space="preserve">For more information or to subscribe, email </w:t>
    </w:r>
    <w:hyperlink r:id="rId1" w:history="1">
      <w:r>
        <w:rPr>
          <w:rStyle w:val="Hyperlink"/>
          <w:rFonts w:ascii="Arial" w:hAnsi="Arial" w:cs="Arial"/>
          <w:sz w:val="20"/>
          <w:szCs w:val="20"/>
        </w:rPr>
        <w:t>ClimateUpdate@daff.gov.au</w:t>
      </w:r>
    </w:hyperlink>
  </w:p>
  <w:p w:rsidR="001E66CE" w:rsidRDefault="001E66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62C" w:rsidRDefault="00AD762C">
      <w:r>
        <w:separator/>
      </w:r>
    </w:p>
  </w:footnote>
  <w:footnote w:type="continuationSeparator" w:id="0">
    <w:p w:rsidR="00AD762C" w:rsidRDefault="00AD76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pt;height:2.7pt;visibility:visible" o:bullet="t">
        <v:imagedata r:id="rId1" o:title=""/>
      </v:shape>
    </w:pict>
  </w:numPicBullet>
  <w:abstractNum w:abstractNumId="0">
    <w:nsid w:val="05B77336"/>
    <w:multiLevelType w:val="multilevel"/>
    <w:tmpl w:val="B7388CC4"/>
    <w:lvl w:ilvl="0">
      <w:start w:val="1"/>
      <w:numFmt w:val="bullet"/>
      <w:lvlText w:val=""/>
      <w:lvlJc w:val="left"/>
      <w:pPr>
        <w:ind w:left="450" w:hanging="450"/>
      </w:pPr>
      <w:rPr>
        <w:rFonts w:ascii="Symbol" w:hAnsi="Symbol" w:hint="default"/>
        <w:color w:val="auto"/>
        <w:sz w:val="24"/>
        <w:szCs w:val="24"/>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nsid w:val="234E1E87"/>
    <w:multiLevelType w:val="hybridMultilevel"/>
    <w:tmpl w:val="A9EA0F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2B6D3AE2"/>
    <w:multiLevelType w:val="hybridMultilevel"/>
    <w:tmpl w:val="3D88FD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3169431C"/>
    <w:multiLevelType w:val="hybridMultilevel"/>
    <w:tmpl w:val="A0648E78"/>
    <w:lvl w:ilvl="0" w:tplc="38604B6C">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32B6211D"/>
    <w:multiLevelType w:val="hybridMultilevel"/>
    <w:tmpl w:val="FEFA8940"/>
    <w:lvl w:ilvl="0" w:tplc="DBF4A0F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7A14E6B"/>
    <w:multiLevelType w:val="hybridMultilevel"/>
    <w:tmpl w:val="641E3EEA"/>
    <w:lvl w:ilvl="0" w:tplc="0FF457B2">
      <w:start w:val="1"/>
      <w:numFmt w:val="bullet"/>
      <w:lvlText w:val=""/>
      <w:lvlPicBulletId w:val="0"/>
      <w:lvlJc w:val="left"/>
      <w:pPr>
        <w:tabs>
          <w:tab w:val="num" w:pos="720"/>
        </w:tabs>
        <w:ind w:left="720" w:hanging="360"/>
      </w:pPr>
      <w:rPr>
        <w:rFonts w:ascii="Symbol" w:hAnsi="Symbol" w:hint="default"/>
      </w:rPr>
    </w:lvl>
    <w:lvl w:ilvl="1" w:tplc="BCE887B2" w:tentative="1">
      <w:start w:val="1"/>
      <w:numFmt w:val="bullet"/>
      <w:lvlText w:val=""/>
      <w:lvlJc w:val="left"/>
      <w:pPr>
        <w:tabs>
          <w:tab w:val="num" w:pos="1440"/>
        </w:tabs>
        <w:ind w:left="1440" w:hanging="360"/>
      </w:pPr>
      <w:rPr>
        <w:rFonts w:ascii="Symbol" w:hAnsi="Symbol" w:hint="default"/>
      </w:rPr>
    </w:lvl>
    <w:lvl w:ilvl="2" w:tplc="32C4EE76" w:tentative="1">
      <w:start w:val="1"/>
      <w:numFmt w:val="bullet"/>
      <w:lvlText w:val=""/>
      <w:lvlJc w:val="left"/>
      <w:pPr>
        <w:tabs>
          <w:tab w:val="num" w:pos="2160"/>
        </w:tabs>
        <w:ind w:left="2160" w:hanging="360"/>
      </w:pPr>
      <w:rPr>
        <w:rFonts w:ascii="Symbol" w:hAnsi="Symbol" w:hint="default"/>
      </w:rPr>
    </w:lvl>
    <w:lvl w:ilvl="3" w:tplc="D2BE6744" w:tentative="1">
      <w:start w:val="1"/>
      <w:numFmt w:val="bullet"/>
      <w:lvlText w:val=""/>
      <w:lvlJc w:val="left"/>
      <w:pPr>
        <w:tabs>
          <w:tab w:val="num" w:pos="2880"/>
        </w:tabs>
        <w:ind w:left="2880" w:hanging="360"/>
      </w:pPr>
      <w:rPr>
        <w:rFonts w:ascii="Symbol" w:hAnsi="Symbol" w:hint="default"/>
      </w:rPr>
    </w:lvl>
    <w:lvl w:ilvl="4" w:tplc="03C4DEB2" w:tentative="1">
      <w:start w:val="1"/>
      <w:numFmt w:val="bullet"/>
      <w:lvlText w:val=""/>
      <w:lvlJc w:val="left"/>
      <w:pPr>
        <w:tabs>
          <w:tab w:val="num" w:pos="3600"/>
        </w:tabs>
        <w:ind w:left="3600" w:hanging="360"/>
      </w:pPr>
      <w:rPr>
        <w:rFonts w:ascii="Symbol" w:hAnsi="Symbol" w:hint="default"/>
      </w:rPr>
    </w:lvl>
    <w:lvl w:ilvl="5" w:tplc="049ACA1C" w:tentative="1">
      <w:start w:val="1"/>
      <w:numFmt w:val="bullet"/>
      <w:lvlText w:val=""/>
      <w:lvlJc w:val="left"/>
      <w:pPr>
        <w:tabs>
          <w:tab w:val="num" w:pos="4320"/>
        </w:tabs>
        <w:ind w:left="4320" w:hanging="360"/>
      </w:pPr>
      <w:rPr>
        <w:rFonts w:ascii="Symbol" w:hAnsi="Symbol" w:hint="default"/>
      </w:rPr>
    </w:lvl>
    <w:lvl w:ilvl="6" w:tplc="2E6082B2" w:tentative="1">
      <w:start w:val="1"/>
      <w:numFmt w:val="bullet"/>
      <w:lvlText w:val=""/>
      <w:lvlJc w:val="left"/>
      <w:pPr>
        <w:tabs>
          <w:tab w:val="num" w:pos="5040"/>
        </w:tabs>
        <w:ind w:left="5040" w:hanging="360"/>
      </w:pPr>
      <w:rPr>
        <w:rFonts w:ascii="Symbol" w:hAnsi="Symbol" w:hint="default"/>
      </w:rPr>
    </w:lvl>
    <w:lvl w:ilvl="7" w:tplc="7B9A46F2" w:tentative="1">
      <w:start w:val="1"/>
      <w:numFmt w:val="bullet"/>
      <w:lvlText w:val=""/>
      <w:lvlJc w:val="left"/>
      <w:pPr>
        <w:tabs>
          <w:tab w:val="num" w:pos="5760"/>
        </w:tabs>
        <w:ind w:left="5760" w:hanging="360"/>
      </w:pPr>
      <w:rPr>
        <w:rFonts w:ascii="Symbol" w:hAnsi="Symbol" w:hint="default"/>
      </w:rPr>
    </w:lvl>
    <w:lvl w:ilvl="8" w:tplc="21CE4E6E" w:tentative="1">
      <w:start w:val="1"/>
      <w:numFmt w:val="bullet"/>
      <w:lvlText w:val=""/>
      <w:lvlJc w:val="left"/>
      <w:pPr>
        <w:tabs>
          <w:tab w:val="num" w:pos="6480"/>
        </w:tabs>
        <w:ind w:left="6480" w:hanging="360"/>
      </w:pPr>
      <w:rPr>
        <w:rFonts w:ascii="Symbol" w:hAnsi="Symbol" w:hint="default"/>
      </w:rPr>
    </w:lvl>
  </w:abstractNum>
  <w:abstractNum w:abstractNumId="6">
    <w:nsid w:val="394B2FB3"/>
    <w:multiLevelType w:val="multilevel"/>
    <w:tmpl w:val="2F88E042"/>
    <w:lvl w:ilvl="0">
      <w:start w:val="1"/>
      <w:numFmt w:val="bullet"/>
      <w:pStyle w:val="ListBullet"/>
      <w:lvlText w:val=""/>
      <w:lvlJc w:val="left"/>
      <w:pPr>
        <w:tabs>
          <w:tab w:val="num" w:pos="360"/>
        </w:tabs>
        <w:ind w:left="360" w:hanging="360"/>
      </w:pPr>
      <w:rPr>
        <w:rFonts w:ascii="Symbol" w:hAnsi="Symbol"/>
        <w:color w:val="auto"/>
        <w:sz w:val="24"/>
      </w:rPr>
    </w:lvl>
    <w:lvl w:ilvl="1">
      <w:start w:val="1"/>
      <w:numFmt w:val="decimal"/>
      <w:lvlText w:val="%2."/>
      <w:lvlJc w:val="left"/>
      <w:pPr>
        <w:tabs>
          <w:tab w:val="num" w:pos="1083"/>
        </w:tabs>
        <w:ind w:left="1083" w:hanging="360"/>
      </w:pPr>
      <w:rPr>
        <w:rFonts w:cs="Times New Roman"/>
      </w:rPr>
    </w:lvl>
    <w:lvl w:ilvl="2">
      <w:start w:val="1"/>
      <w:numFmt w:val="decimal"/>
      <w:lvlText w:val="%3."/>
      <w:lvlJc w:val="left"/>
      <w:pPr>
        <w:tabs>
          <w:tab w:val="num" w:pos="1803"/>
        </w:tabs>
        <w:ind w:left="1803" w:hanging="360"/>
      </w:pPr>
      <w:rPr>
        <w:rFonts w:cs="Times New Roman"/>
      </w:rPr>
    </w:lvl>
    <w:lvl w:ilvl="3">
      <w:start w:val="1"/>
      <w:numFmt w:val="decimal"/>
      <w:lvlText w:val="%4."/>
      <w:lvlJc w:val="left"/>
      <w:pPr>
        <w:tabs>
          <w:tab w:val="num" w:pos="2523"/>
        </w:tabs>
        <w:ind w:left="2523" w:hanging="360"/>
      </w:pPr>
      <w:rPr>
        <w:rFonts w:cs="Times New Roman"/>
      </w:rPr>
    </w:lvl>
    <w:lvl w:ilvl="4">
      <w:start w:val="1"/>
      <w:numFmt w:val="decimal"/>
      <w:lvlText w:val="%5."/>
      <w:lvlJc w:val="left"/>
      <w:pPr>
        <w:tabs>
          <w:tab w:val="num" w:pos="3243"/>
        </w:tabs>
        <w:ind w:left="3243" w:hanging="360"/>
      </w:pPr>
      <w:rPr>
        <w:rFonts w:cs="Times New Roman"/>
      </w:rPr>
    </w:lvl>
    <w:lvl w:ilvl="5">
      <w:start w:val="1"/>
      <w:numFmt w:val="decimal"/>
      <w:lvlText w:val="%6."/>
      <w:lvlJc w:val="left"/>
      <w:pPr>
        <w:tabs>
          <w:tab w:val="num" w:pos="3963"/>
        </w:tabs>
        <w:ind w:left="3963" w:hanging="360"/>
      </w:pPr>
      <w:rPr>
        <w:rFonts w:cs="Times New Roman"/>
      </w:rPr>
    </w:lvl>
    <w:lvl w:ilvl="6">
      <w:start w:val="1"/>
      <w:numFmt w:val="decimal"/>
      <w:lvlText w:val="%7."/>
      <w:lvlJc w:val="left"/>
      <w:pPr>
        <w:tabs>
          <w:tab w:val="num" w:pos="4683"/>
        </w:tabs>
        <w:ind w:left="4683" w:hanging="360"/>
      </w:pPr>
      <w:rPr>
        <w:rFonts w:cs="Times New Roman"/>
      </w:rPr>
    </w:lvl>
    <w:lvl w:ilvl="7">
      <w:start w:val="1"/>
      <w:numFmt w:val="decimal"/>
      <w:lvlText w:val="%8."/>
      <w:lvlJc w:val="left"/>
      <w:pPr>
        <w:tabs>
          <w:tab w:val="num" w:pos="5403"/>
        </w:tabs>
        <w:ind w:left="5403" w:hanging="360"/>
      </w:pPr>
      <w:rPr>
        <w:rFonts w:cs="Times New Roman"/>
      </w:rPr>
    </w:lvl>
    <w:lvl w:ilvl="8">
      <w:start w:val="1"/>
      <w:numFmt w:val="decimal"/>
      <w:lvlText w:val="%9."/>
      <w:lvlJc w:val="left"/>
      <w:pPr>
        <w:tabs>
          <w:tab w:val="num" w:pos="6123"/>
        </w:tabs>
        <w:ind w:left="6123" w:hanging="360"/>
      </w:pPr>
      <w:rPr>
        <w:rFonts w:cs="Times New Roman"/>
      </w:rPr>
    </w:lvl>
  </w:abstractNum>
  <w:abstractNum w:abstractNumId="7">
    <w:nsid w:val="3E9A66E6"/>
    <w:multiLevelType w:val="hybridMultilevel"/>
    <w:tmpl w:val="C11A7D42"/>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nsid w:val="40DE42F6"/>
    <w:multiLevelType w:val="hybridMultilevel"/>
    <w:tmpl w:val="58BCB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tentative="1">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nsid w:val="5FDD68C6"/>
    <w:multiLevelType w:val="hybridMultilevel"/>
    <w:tmpl w:val="6090FC4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nsid w:val="6A6917B5"/>
    <w:multiLevelType w:val="multilevel"/>
    <w:tmpl w:val="EB164310"/>
    <w:lvl w:ilvl="0">
      <w:start w:val="1"/>
      <w:numFmt w:val="decimal"/>
      <w:lvlText w:val="%1."/>
      <w:lvlJc w:val="left"/>
      <w:pPr>
        <w:ind w:left="360" w:hanging="360"/>
      </w:pPr>
      <w:rPr>
        <w:rFonts w:ascii="Cambria" w:hAnsi="Cambria" w:cs="Arial" w:hint="default"/>
        <w:color w:val="auto"/>
        <w:sz w:val="34"/>
        <w:szCs w:val="34"/>
      </w:rPr>
    </w:lvl>
    <w:lvl w:ilvl="1">
      <w:start w:val="1"/>
      <w:numFmt w:val="decimal"/>
      <w:lvlText w:val="%1.%2."/>
      <w:lvlJc w:val="left"/>
      <w:pPr>
        <w:ind w:left="432" w:hanging="432"/>
      </w:pPr>
      <w:rPr>
        <w:rFonts w:ascii="Cambria" w:hAnsi="Cambria" w:hint="default"/>
        <w:color w:val="auto"/>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033148B"/>
    <w:multiLevelType w:val="multilevel"/>
    <w:tmpl w:val="8CCA91C4"/>
    <w:lvl w:ilvl="0">
      <w:start w:val="1"/>
      <w:numFmt w:val="bullet"/>
      <w:lvlText w:val=""/>
      <w:lvlJc w:val="left"/>
      <w:pPr>
        <w:ind w:left="360" w:hanging="360"/>
      </w:pPr>
      <w:rPr>
        <w:rFonts w:ascii="Symbol" w:hAnsi="Symbol" w:hint="default"/>
        <w:color w:val="auto"/>
        <w:sz w:val="24"/>
        <w:szCs w:val="34"/>
      </w:rPr>
    </w:lvl>
    <w:lvl w:ilvl="1">
      <w:start w:val="1"/>
      <w:numFmt w:val="decimal"/>
      <w:lvlText w:val="%1.%2."/>
      <w:lvlJc w:val="left"/>
      <w:pPr>
        <w:ind w:left="432" w:hanging="432"/>
      </w:pPr>
      <w:rPr>
        <w:rFonts w:ascii="Cambria" w:hAnsi="Cambria" w:hint="default"/>
        <w:color w:val="auto"/>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0900F81"/>
    <w:multiLevelType w:val="hybridMultilevel"/>
    <w:tmpl w:val="59047A5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nsid w:val="741467E7"/>
    <w:multiLevelType w:val="hybridMultilevel"/>
    <w:tmpl w:val="9E940A8E"/>
    <w:lvl w:ilvl="0" w:tplc="0C090001">
      <w:start w:val="1"/>
      <w:numFmt w:val="bullet"/>
      <w:lvlText w:val=""/>
      <w:lvlJc w:val="left"/>
      <w:pPr>
        <w:tabs>
          <w:tab w:val="left" w:pos="720"/>
        </w:tabs>
        <w:ind w:left="720" w:hanging="360"/>
      </w:pPr>
      <w:rPr>
        <w:rFonts w:ascii="Symbol" w:hAnsi="Symbol" w:hint="default"/>
      </w:rPr>
    </w:lvl>
    <w:lvl w:ilvl="1" w:tplc="04090003" w:tentative="1">
      <w:start w:val="1"/>
      <w:numFmt w:val="bullet"/>
      <w:lvlText w:val="o"/>
      <w:lvlJc w:val="left"/>
      <w:pPr>
        <w:tabs>
          <w:tab w:val="left" w:pos="1440"/>
        </w:tabs>
        <w:ind w:left="1440" w:hanging="360"/>
      </w:pPr>
      <w:rPr>
        <w:rFonts w:ascii="Courier New" w:hAnsi="Courier New" w:cs="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16">
    <w:nsid w:val="75616778"/>
    <w:multiLevelType w:val="hybridMultilevel"/>
    <w:tmpl w:val="6B620E4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nsid w:val="762A0641"/>
    <w:multiLevelType w:val="multilevel"/>
    <w:tmpl w:val="130401E8"/>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6"/>
  </w:num>
  <w:num w:numId="2">
    <w:abstractNumId w:val="0"/>
  </w:num>
  <w:num w:numId="3">
    <w:abstractNumId w:val="9"/>
  </w:num>
  <w:num w:numId="4">
    <w:abstractNumId w:val="12"/>
  </w:num>
  <w:num w:numId="5">
    <w:abstractNumId w:val="10"/>
  </w:num>
  <w:num w:numId="6">
    <w:abstractNumId w:val="3"/>
  </w:num>
  <w:num w:numId="7">
    <w:abstractNumId w:val="5"/>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num>
  <w:num w:numId="11">
    <w:abstractNumId w:val="6"/>
  </w:num>
  <w:num w:numId="12">
    <w:abstractNumId w:val="8"/>
  </w:num>
  <w:num w:numId="13">
    <w:abstractNumId w:val="15"/>
  </w:num>
  <w:num w:numId="14">
    <w:abstractNumId w:val="6"/>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6"/>
  </w:num>
  <w:num w:numId="19">
    <w:abstractNumId w:val="4"/>
  </w:num>
  <w:num w:numId="20">
    <w:abstractNumId w:val="6"/>
  </w:num>
  <w:num w:numId="21">
    <w:abstractNumId w:val="6"/>
  </w:num>
  <w:num w:numId="22">
    <w:abstractNumId w:val="6"/>
  </w:num>
  <w:num w:numId="23">
    <w:abstractNumId w:val="6"/>
  </w:num>
  <w:num w:numId="24">
    <w:abstractNumId w:val="6"/>
  </w:num>
  <w:num w:numId="2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6"/>
  </w:num>
  <w:num w:numId="28">
    <w:abstractNumId w:val="6"/>
  </w:num>
  <w:num w:numId="29">
    <w:abstractNumId w:val="6"/>
  </w:num>
  <w:num w:numId="30">
    <w:abstractNumId w:val="6"/>
  </w:num>
  <w:num w:numId="31">
    <w:abstractNumId w:val="6"/>
  </w:num>
  <w:num w:numId="3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6"/>
  </w:num>
  <w:num w:numId="35">
    <w:abstractNumId w:val="6"/>
  </w:num>
  <w:num w:numId="36">
    <w:abstractNumId w:val="6"/>
  </w:num>
  <w:num w:numId="37">
    <w:abstractNumId w:val="6"/>
  </w:num>
  <w:num w:numId="38">
    <w:abstractNumId w:val="6"/>
  </w:num>
  <w:num w:numId="39">
    <w:abstractNumId w:val="6"/>
  </w:num>
  <w:num w:numId="40">
    <w:abstractNumId w:val="6"/>
  </w:num>
  <w:num w:numId="41">
    <w:abstractNumId w:val="6"/>
  </w:num>
  <w:num w:numId="42">
    <w:abstractNumId w:val="6"/>
  </w:num>
  <w:num w:numId="43">
    <w:abstractNumId w:val="13"/>
  </w:num>
  <w:num w:numId="44">
    <w:abstractNumId w:val="1"/>
  </w:num>
  <w:num w:numId="4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num>
  <w:num w:numId="47">
    <w:abstractNumId w:val="6"/>
  </w:num>
  <w:num w:numId="48">
    <w:abstractNumId w:val="17"/>
  </w:num>
  <w:num w:numId="49">
    <w:abstractNumId w:val="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cVars>
    <w:docVar w:name="_AMO_XmlVersion" w:val="Empty"/>
  </w:docVars>
  <w:rsids>
    <w:rsidRoot w:val="003C5ACC"/>
    <w:rsid w:val="00000FBB"/>
    <w:rsid w:val="000102E2"/>
    <w:rsid w:val="00012296"/>
    <w:rsid w:val="00012A4E"/>
    <w:rsid w:val="000141DF"/>
    <w:rsid w:val="0001485D"/>
    <w:rsid w:val="0002119F"/>
    <w:rsid w:val="00021AD9"/>
    <w:rsid w:val="00027568"/>
    <w:rsid w:val="00027D2B"/>
    <w:rsid w:val="00027E81"/>
    <w:rsid w:val="00033D8D"/>
    <w:rsid w:val="0003679C"/>
    <w:rsid w:val="00036B45"/>
    <w:rsid w:val="000379CA"/>
    <w:rsid w:val="00041A7D"/>
    <w:rsid w:val="00042D96"/>
    <w:rsid w:val="0004547E"/>
    <w:rsid w:val="00046975"/>
    <w:rsid w:val="0004728F"/>
    <w:rsid w:val="000523EC"/>
    <w:rsid w:val="000525F9"/>
    <w:rsid w:val="00054273"/>
    <w:rsid w:val="000558C5"/>
    <w:rsid w:val="00056322"/>
    <w:rsid w:val="000566E2"/>
    <w:rsid w:val="00057331"/>
    <w:rsid w:val="0006094D"/>
    <w:rsid w:val="00060B30"/>
    <w:rsid w:val="00062CC9"/>
    <w:rsid w:val="00067D40"/>
    <w:rsid w:val="00072991"/>
    <w:rsid w:val="00077E73"/>
    <w:rsid w:val="00082C1D"/>
    <w:rsid w:val="00082D65"/>
    <w:rsid w:val="00083886"/>
    <w:rsid w:val="000842C3"/>
    <w:rsid w:val="00084E2F"/>
    <w:rsid w:val="000854A0"/>
    <w:rsid w:val="00085C6E"/>
    <w:rsid w:val="00087BB2"/>
    <w:rsid w:val="000902CD"/>
    <w:rsid w:val="00090CD3"/>
    <w:rsid w:val="00090F54"/>
    <w:rsid w:val="00092BDC"/>
    <w:rsid w:val="0009386F"/>
    <w:rsid w:val="0009560C"/>
    <w:rsid w:val="00095D42"/>
    <w:rsid w:val="00096852"/>
    <w:rsid w:val="000A0247"/>
    <w:rsid w:val="000A106D"/>
    <w:rsid w:val="000A5249"/>
    <w:rsid w:val="000A609A"/>
    <w:rsid w:val="000A6FEC"/>
    <w:rsid w:val="000A7395"/>
    <w:rsid w:val="000B3240"/>
    <w:rsid w:val="000B3694"/>
    <w:rsid w:val="000B7A85"/>
    <w:rsid w:val="000C018C"/>
    <w:rsid w:val="000C1468"/>
    <w:rsid w:val="000C3549"/>
    <w:rsid w:val="000C7D1E"/>
    <w:rsid w:val="000D5A87"/>
    <w:rsid w:val="000D5E7A"/>
    <w:rsid w:val="000D6828"/>
    <w:rsid w:val="000D72D3"/>
    <w:rsid w:val="000E0108"/>
    <w:rsid w:val="000F0346"/>
    <w:rsid w:val="000F2B06"/>
    <w:rsid w:val="000F33B7"/>
    <w:rsid w:val="000F34C7"/>
    <w:rsid w:val="000F38DD"/>
    <w:rsid w:val="000F77CF"/>
    <w:rsid w:val="000F7939"/>
    <w:rsid w:val="00100C8B"/>
    <w:rsid w:val="0011056D"/>
    <w:rsid w:val="00111D2A"/>
    <w:rsid w:val="00111E96"/>
    <w:rsid w:val="00112CA7"/>
    <w:rsid w:val="00117FF6"/>
    <w:rsid w:val="00122D7E"/>
    <w:rsid w:val="001230CD"/>
    <w:rsid w:val="001306ED"/>
    <w:rsid w:val="0013106E"/>
    <w:rsid w:val="00132440"/>
    <w:rsid w:val="00132B39"/>
    <w:rsid w:val="0013334C"/>
    <w:rsid w:val="00135F57"/>
    <w:rsid w:val="001370E3"/>
    <w:rsid w:val="00140A8F"/>
    <w:rsid w:val="00145359"/>
    <w:rsid w:val="00147EBF"/>
    <w:rsid w:val="00153FDD"/>
    <w:rsid w:val="00154E93"/>
    <w:rsid w:val="001552D7"/>
    <w:rsid w:val="00157FA6"/>
    <w:rsid w:val="00162E16"/>
    <w:rsid w:val="00166ED5"/>
    <w:rsid w:val="00167A3D"/>
    <w:rsid w:val="001837A7"/>
    <w:rsid w:val="00184D74"/>
    <w:rsid w:val="001943AB"/>
    <w:rsid w:val="00197CED"/>
    <w:rsid w:val="001A00A3"/>
    <w:rsid w:val="001A156E"/>
    <w:rsid w:val="001A1735"/>
    <w:rsid w:val="001A1DDC"/>
    <w:rsid w:val="001A5985"/>
    <w:rsid w:val="001A6F5B"/>
    <w:rsid w:val="001A76BE"/>
    <w:rsid w:val="001B0660"/>
    <w:rsid w:val="001B069B"/>
    <w:rsid w:val="001B5A5B"/>
    <w:rsid w:val="001B5F03"/>
    <w:rsid w:val="001C43D3"/>
    <w:rsid w:val="001C5374"/>
    <w:rsid w:val="001C5776"/>
    <w:rsid w:val="001D6BA9"/>
    <w:rsid w:val="001E12B2"/>
    <w:rsid w:val="001E1B98"/>
    <w:rsid w:val="001E3F04"/>
    <w:rsid w:val="001E5731"/>
    <w:rsid w:val="001E66CE"/>
    <w:rsid w:val="001F191B"/>
    <w:rsid w:val="001F6D8B"/>
    <w:rsid w:val="0020223B"/>
    <w:rsid w:val="00202B55"/>
    <w:rsid w:val="00203153"/>
    <w:rsid w:val="0020328E"/>
    <w:rsid w:val="00205C8F"/>
    <w:rsid w:val="00211B14"/>
    <w:rsid w:val="0021315C"/>
    <w:rsid w:val="00214C7E"/>
    <w:rsid w:val="00216694"/>
    <w:rsid w:val="002275C9"/>
    <w:rsid w:val="00227B65"/>
    <w:rsid w:val="00230274"/>
    <w:rsid w:val="002305D2"/>
    <w:rsid w:val="00230E7E"/>
    <w:rsid w:val="00234FEA"/>
    <w:rsid w:val="00236005"/>
    <w:rsid w:val="00241831"/>
    <w:rsid w:val="00243740"/>
    <w:rsid w:val="0025034A"/>
    <w:rsid w:val="00250C1B"/>
    <w:rsid w:val="00251F96"/>
    <w:rsid w:val="00253648"/>
    <w:rsid w:val="002562F4"/>
    <w:rsid w:val="00260653"/>
    <w:rsid w:val="00262062"/>
    <w:rsid w:val="00262914"/>
    <w:rsid w:val="00265473"/>
    <w:rsid w:val="0026653C"/>
    <w:rsid w:val="002718CF"/>
    <w:rsid w:val="00272236"/>
    <w:rsid w:val="00276FE3"/>
    <w:rsid w:val="002801CC"/>
    <w:rsid w:val="0028345F"/>
    <w:rsid w:val="00283777"/>
    <w:rsid w:val="00283A4C"/>
    <w:rsid w:val="0028565C"/>
    <w:rsid w:val="002902C4"/>
    <w:rsid w:val="00290C13"/>
    <w:rsid w:val="00291E26"/>
    <w:rsid w:val="002944BF"/>
    <w:rsid w:val="002A10D3"/>
    <w:rsid w:val="002A261F"/>
    <w:rsid w:val="002A28FD"/>
    <w:rsid w:val="002A3714"/>
    <w:rsid w:val="002A6336"/>
    <w:rsid w:val="002B01D0"/>
    <w:rsid w:val="002B33D9"/>
    <w:rsid w:val="002B3FAF"/>
    <w:rsid w:val="002B7772"/>
    <w:rsid w:val="002C0B45"/>
    <w:rsid w:val="002C4368"/>
    <w:rsid w:val="002C46F2"/>
    <w:rsid w:val="002C4B61"/>
    <w:rsid w:val="002C73D2"/>
    <w:rsid w:val="002C7652"/>
    <w:rsid w:val="002C7CDF"/>
    <w:rsid w:val="002D0422"/>
    <w:rsid w:val="002D455B"/>
    <w:rsid w:val="002D5793"/>
    <w:rsid w:val="002D5949"/>
    <w:rsid w:val="002D63DB"/>
    <w:rsid w:val="002D6BC2"/>
    <w:rsid w:val="002E0082"/>
    <w:rsid w:val="002E26DD"/>
    <w:rsid w:val="002E2C2C"/>
    <w:rsid w:val="002E3913"/>
    <w:rsid w:val="002F1C07"/>
    <w:rsid w:val="002F1F4F"/>
    <w:rsid w:val="002F3C41"/>
    <w:rsid w:val="002F3D02"/>
    <w:rsid w:val="002F5658"/>
    <w:rsid w:val="002F6C76"/>
    <w:rsid w:val="002F6CE3"/>
    <w:rsid w:val="003000B2"/>
    <w:rsid w:val="003024FA"/>
    <w:rsid w:val="00302D08"/>
    <w:rsid w:val="003035D9"/>
    <w:rsid w:val="00304954"/>
    <w:rsid w:val="0030567E"/>
    <w:rsid w:val="003063CA"/>
    <w:rsid w:val="003075D0"/>
    <w:rsid w:val="003108BA"/>
    <w:rsid w:val="00310B15"/>
    <w:rsid w:val="0031181D"/>
    <w:rsid w:val="00311E2C"/>
    <w:rsid w:val="00315B62"/>
    <w:rsid w:val="00315D2D"/>
    <w:rsid w:val="00317564"/>
    <w:rsid w:val="003178EC"/>
    <w:rsid w:val="00321107"/>
    <w:rsid w:val="003241FD"/>
    <w:rsid w:val="003268DF"/>
    <w:rsid w:val="00330B1E"/>
    <w:rsid w:val="00332D30"/>
    <w:rsid w:val="00333CCC"/>
    <w:rsid w:val="00333DF5"/>
    <w:rsid w:val="00334D60"/>
    <w:rsid w:val="00335EBA"/>
    <w:rsid w:val="003366BC"/>
    <w:rsid w:val="00341C83"/>
    <w:rsid w:val="0034241E"/>
    <w:rsid w:val="00343D75"/>
    <w:rsid w:val="00351E49"/>
    <w:rsid w:val="003525C4"/>
    <w:rsid w:val="00354A82"/>
    <w:rsid w:val="00356A1D"/>
    <w:rsid w:val="00360E83"/>
    <w:rsid w:val="00364013"/>
    <w:rsid w:val="003709D9"/>
    <w:rsid w:val="00372DB0"/>
    <w:rsid w:val="00373468"/>
    <w:rsid w:val="00373ADE"/>
    <w:rsid w:val="00373CFD"/>
    <w:rsid w:val="00375AD9"/>
    <w:rsid w:val="00375D29"/>
    <w:rsid w:val="00376DBC"/>
    <w:rsid w:val="00380BC0"/>
    <w:rsid w:val="003822D6"/>
    <w:rsid w:val="00382C01"/>
    <w:rsid w:val="0038516C"/>
    <w:rsid w:val="003853D9"/>
    <w:rsid w:val="00390E57"/>
    <w:rsid w:val="0039158E"/>
    <w:rsid w:val="0039708E"/>
    <w:rsid w:val="003A07D8"/>
    <w:rsid w:val="003A14B3"/>
    <w:rsid w:val="003A1E87"/>
    <w:rsid w:val="003A259F"/>
    <w:rsid w:val="003A457F"/>
    <w:rsid w:val="003A7A71"/>
    <w:rsid w:val="003B191D"/>
    <w:rsid w:val="003B32CA"/>
    <w:rsid w:val="003C1268"/>
    <w:rsid w:val="003C24B7"/>
    <w:rsid w:val="003C38F0"/>
    <w:rsid w:val="003C3F8E"/>
    <w:rsid w:val="003C4702"/>
    <w:rsid w:val="003C4FAE"/>
    <w:rsid w:val="003C5ACC"/>
    <w:rsid w:val="003C69E3"/>
    <w:rsid w:val="003C6C5A"/>
    <w:rsid w:val="003C7222"/>
    <w:rsid w:val="003D303B"/>
    <w:rsid w:val="003D4861"/>
    <w:rsid w:val="003D650D"/>
    <w:rsid w:val="003D6839"/>
    <w:rsid w:val="003D6CE0"/>
    <w:rsid w:val="003D6CFF"/>
    <w:rsid w:val="003D7B8B"/>
    <w:rsid w:val="003E0EF3"/>
    <w:rsid w:val="003E1D42"/>
    <w:rsid w:val="003E5A63"/>
    <w:rsid w:val="003E7D0E"/>
    <w:rsid w:val="003F186E"/>
    <w:rsid w:val="003F39B8"/>
    <w:rsid w:val="003F404E"/>
    <w:rsid w:val="003F5AC7"/>
    <w:rsid w:val="003F62F0"/>
    <w:rsid w:val="003F7E42"/>
    <w:rsid w:val="00401D8E"/>
    <w:rsid w:val="00411511"/>
    <w:rsid w:val="004138ED"/>
    <w:rsid w:val="00414BD4"/>
    <w:rsid w:val="00414C0C"/>
    <w:rsid w:val="00415D21"/>
    <w:rsid w:val="00420AAD"/>
    <w:rsid w:val="00422ABF"/>
    <w:rsid w:val="0042399E"/>
    <w:rsid w:val="00424E71"/>
    <w:rsid w:val="00425B7A"/>
    <w:rsid w:val="0042715D"/>
    <w:rsid w:val="004272A8"/>
    <w:rsid w:val="00433D0B"/>
    <w:rsid w:val="00435D66"/>
    <w:rsid w:val="00436323"/>
    <w:rsid w:val="004370A0"/>
    <w:rsid w:val="004418D0"/>
    <w:rsid w:val="00443486"/>
    <w:rsid w:val="00444069"/>
    <w:rsid w:val="004442BF"/>
    <w:rsid w:val="00444880"/>
    <w:rsid w:val="00452372"/>
    <w:rsid w:val="00452C8D"/>
    <w:rsid w:val="004554A4"/>
    <w:rsid w:val="004568AB"/>
    <w:rsid w:val="004579B1"/>
    <w:rsid w:val="0046179C"/>
    <w:rsid w:val="004620F2"/>
    <w:rsid w:val="004633C4"/>
    <w:rsid w:val="004649E1"/>
    <w:rsid w:val="00466085"/>
    <w:rsid w:val="00471C94"/>
    <w:rsid w:val="0047246F"/>
    <w:rsid w:val="00473227"/>
    <w:rsid w:val="0047346F"/>
    <w:rsid w:val="00485293"/>
    <w:rsid w:val="00487A78"/>
    <w:rsid w:val="004902EA"/>
    <w:rsid w:val="004912E4"/>
    <w:rsid w:val="00491DF0"/>
    <w:rsid w:val="00492C69"/>
    <w:rsid w:val="00494DDB"/>
    <w:rsid w:val="0049558D"/>
    <w:rsid w:val="00496BA7"/>
    <w:rsid w:val="0049722C"/>
    <w:rsid w:val="004A0C76"/>
    <w:rsid w:val="004A0DB9"/>
    <w:rsid w:val="004A2CD4"/>
    <w:rsid w:val="004A64B6"/>
    <w:rsid w:val="004A66CF"/>
    <w:rsid w:val="004B0991"/>
    <w:rsid w:val="004B3846"/>
    <w:rsid w:val="004C2881"/>
    <w:rsid w:val="004C5F97"/>
    <w:rsid w:val="004C6E95"/>
    <w:rsid w:val="004D3FF6"/>
    <w:rsid w:val="004D454E"/>
    <w:rsid w:val="004D4F66"/>
    <w:rsid w:val="004D55E5"/>
    <w:rsid w:val="004D5C57"/>
    <w:rsid w:val="004D71A9"/>
    <w:rsid w:val="004D7428"/>
    <w:rsid w:val="004E0B87"/>
    <w:rsid w:val="004E1D73"/>
    <w:rsid w:val="004E1E7F"/>
    <w:rsid w:val="004E71ED"/>
    <w:rsid w:val="004E7654"/>
    <w:rsid w:val="004F27BF"/>
    <w:rsid w:val="004F2A31"/>
    <w:rsid w:val="004F4068"/>
    <w:rsid w:val="004F5265"/>
    <w:rsid w:val="00500196"/>
    <w:rsid w:val="0050675D"/>
    <w:rsid w:val="0050694E"/>
    <w:rsid w:val="00507FD3"/>
    <w:rsid w:val="00510EC1"/>
    <w:rsid w:val="005113D1"/>
    <w:rsid w:val="005121B2"/>
    <w:rsid w:val="0051242C"/>
    <w:rsid w:val="00513E14"/>
    <w:rsid w:val="00520B12"/>
    <w:rsid w:val="00526F46"/>
    <w:rsid w:val="005309D0"/>
    <w:rsid w:val="00531B02"/>
    <w:rsid w:val="0053316B"/>
    <w:rsid w:val="00533579"/>
    <w:rsid w:val="005337D2"/>
    <w:rsid w:val="00535A28"/>
    <w:rsid w:val="0053604B"/>
    <w:rsid w:val="0054161E"/>
    <w:rsid w:val="0054314B"/>
    <w:rsid w:val="005454D6"/>
    <w:rsid w:val="005466E8"/>
    <w:rsid w:val="00547605"/>
    <w:rsid w:val="00552A31"/>
    <w:rsid w:val="005567F0"/>
    <w:rsid w:val="00557249"/>
    <w:rsid w:val="00561BC0"/>
    <w:rsid w:val="005627AC"/>
    <w:rsid w:val="00562B9F"/>
    <w:rsid w:val="00567AB3"/>
    <w:rsid w:val="00567DE6"/>
    <w:rsid w:val="0057001E"/>
    <w:rsid w:val="00571B6E"/>
    <w:rsid w:val="00573D13"/>
    <w:rsid w:val="005770F0"/>
    <w:rsid w:val="00580A05"/>
    <w:rsid w:val="005821F6"/>
    <w:rsid w:val="00582DDA"/>
    <w:rsid w:val="00582F14"/>
    <w:rsid w:val="005844C1"/>
    <w:rsid w:val="00584C17"/>
    <w:rsid w:val="0058643D"/>
    <w:rsid w:val="00587AFC"/>
    <w:rsid w:val="00592D4D"/>
    <w:rsid w:val="00593EA1"/>
    <w:rsid w:val="005941F6"/>
    <w:rsid w:val="005A4171"/>
    <w:rsid w:val="005A52EA"/>
    <w:rsid w:val="005A5FA3"/>
    <w:rsid w:val="005A678C"/>
    <w:rsid w:val="005A76C0"/>
    <w:rsid w:val="005B0DAB"/>
    <w:rsid w:val="005B10F6"/>
    <w:rsid w:val="005B2362"/>
    <w:rsid w:val="005B4109"/>
    <w:rsid w:val="005C0439"/>
    <w:rsid w:val="005C0858"/>
    <w:rsid w:val="005C1D0A"/>
    <w:rsid w:val="005C2CED"/>
    <w:rsid w:val="005D1559"/>
    <w:rsid w:val="005D22E6"/>
    <w:rsid w:val="005D2752"/>
    <w:rsid w:val="005D33D6"/>
    <w:rsid w:val="005D492B"/>
    <w:rsid w:val="005D6B96"/>
    <w:rsid w:val="005E11DC"/>
    <w:rsid w:val="005E2742"/>
    <w:rsid w:val="005E2A61"/>
    <w:rsid w:val="005E7073"/>
    <w:rsid w:val="005E766A"/>
    <w:rsid w:val="005F0A78"/>
    <w:rsid w:val="005F35DD"/>
    <w:rsid w:val="005F3E60"/>
    <w:rsid w:val="005F439C"/>
    <w:rsid w:val="005F5FF7"/>
    <w:rsid w:val="006008A8"/>
    <w:rsid w:val="00600EAE"/>
    <w:rsid w:val="00604B05"/>
    <w:rsid w:val="00604BBF"/>
    <w:rsid w:val="00611F25"/>
    <w:rsid w:val="00613F07"/>
    <w:rsid w:val="00615858"/>
    <w:rsid w:val="0062020B"/>
    <w:rsid w:val="006238E0"/>
    <w:rsid w:val="00625D8E"/>
    <w:rsid w:val="00626498"/>
    <w:rsid w:val="006303C3"/>
    <w:rsid w:val="00630CF1"/>
    <w:rsid w:val="0063284B"/>
    <w:rsid w:val="00635168"/>
    <w:rsid w:val="00635A77"/>
    <w:rsid w:val="00635E43"/>
    <w:rsid w:val="00637058"/>
    <w:rsid w:val="00641736"/>
    <w:rsid w:val="00642191"/>
    <w:rsid w:val="00645CD5"/>
    <w:rsid w:val="0064771F"/>
    <w:rsid w:val="00654329"/>
    <w:rsid w:val="00655795"/>
    <w:rsid w:val="00656633"/>
    <w:rsid w:val="006616E8"/>
    <w:rsid w:val="00664F8E"/>
    <w:rsid w:val="006653B2"/>
    <w:rsid w:val="006656D5"/>
    <w:rsid w:val="00670C06"/>
    <w:rsid w:val="00674855"/>
    <w:rsid w:val="00674FB4"/>
    <w:rsid w:val="006758B0"/>
    <w:rsid w:val="00680A2F"/>
    <w:rsid w:val="0068117A"/>
    <w:rsid w:val="00683E96"/>
    <w:rsid w:val="00683F86"/>
    <w:rsid w:val="0068518A"/>
    <w:rsid w:val="00685A68"/>
    <w:rsid w:val="00692B7F"/>
    <w:rsid w:val="00694ABB"/>
    <w:rsid w:val="00695AC5"/>
    <w:rsid w:val="006A0250"/>
    <w:rsid w:val="006A1054"/>
    <w:rsid w:val="006A2ABA"/>
    <w:rsid w:val="006A2E72"/>
    <w:rsid w:val="006A454F"/>
    <w:rsid w:val="006A4D76"/>
    <w:rsid w:val="006A4EBC"/>
    <w:rsid w:val="006A5A65"/>
    <w:rsid w:val="006B0B45"/>
    <w:rsid w:val="006B0F55"/>
    <w:rsid w:val="006B26A6"/>
    <w:rsid w:val="006B36A7"/>
    <w:rsid w:val="006B4D99"/>
    <w:rsid w:val="006B5F07"/>
    <w:rsid w:val="006B63BD"/>
    <w:rsid w:val="006C39A7"/>
    <w:rsid w:val="006D00BD"/>
    <w:rsid w:val="006D1AD0"/>
    <w:rsid w:val="006D1B3E"/>
    <w:rsid w:val="006D50FF"/>
    <w:rsid w:val="006D54C6"/>
    <w:rsid w:val="006E044F"/>
    <w:rsid w:val="006E10E3"/>
    <w:rsid w:val="006E2269"/>
    <w:rsid w:val="006E41EC"/>
    <w:rsid w:val="006E5A4A"/>
    <w:rsid w:val="006E752A"/>
    <w:rsid w:val="006F48D6"/>
    <w:rsid w:val="006F6779"/>
    <w:rsid w:val="006F7A43"/>
    <w:rsid w:val="0070064C"/>
    <w:rsid w:val="00700792"/>
    <w:rsid w:val="00712843"/>
    <w:rsid w:val="00717211"/>
    <w:rsid w:val="007224E3"/>
    <w:rsid w:val="00724EA3"/>
    <w:rsid w:val="0072660D"/>
    <w:rsid w:val="00727717"/>
    <w:rsid w:val="00732D1A"/>
    <w:rsid w:val="00733ACC"/>
    <w:rsid w:val="00736F0E"/>
    <w:rsid w:val="00737E88"/>
    <w:rsid w:val="00742AEA"/>
    <w:rsid w:val="0074317B"/>
    <w:rsid w:val="007469F9"/>
    <w:rsid w:val="00747266"/>
    <w:rsid w:val="0075195D"/>
    <w:rsid w:val="0075217B"/>
    <w:rsid w:val="00752387"/>
    <w:rsid w:val="007544CB"/>
    <w:rsid w:val="00754707"/>
    <w:rsid w:val="00763F5E"/>
    <w:rsid w:val="0076406A"/>
    <w:rsid w:val="00764BED"/>
    <w:rsid w:val="00765D0C"/>
    <w:rsid w:val="00771B7A"/>
    <w:rsid w:val="00773956"/>
    <w:rsid w:val="00776AC9"/>
    <w:rsid w:val="00776EC9"/>
    <w:rsid w:val="0077755A"/>
    <w:rsid w:val="00777F7E"/>
    <w:rsid w:val="00784BE8"/>
    <w:rsid w:val="007856A8"/>
    <w:rsid w:val="007857CA"/>
    <w:rsid w:val="00787C64"/>
    <w:rsid w:val="00797927"/>
    <w:rsid w:val="00797B03"/>
    <w:rsid w:val="007A2AE4"/>
    <w:rsid w:val="007A2ECB"/>
    <w:rsid w:val="007A33BF"/>
    <w:rsid w:val="007A5235"/>
    <w:rsid w:val="007A7692"/>
    <w:rsid w:val="007B1FCB"/>
    <w:rsid w:val="007B22CB"/>
    <w:rsid w:val="007B3130"/>
    <w:rsid w:val="007B356F"/>
    <w:rsid w:val="007B44F1"/>
    <w:rsid w:val="007B4E96"/>
    <w:rsid w:val="007B7D53"/>
    <w:rsid w:val="007C2271"/>
    <w:rsid w:val="007C3C22"/>
    <w:rsid w:val="007C5E2D"/>
    <w:rsid w:val="007D292C"/>
    <w:rsid w:val="007E3A44"/>
    <w:rsid w:val="007E40C7"/>
    <w:rsid w:val="007E5CF0"/>
    <w:rsid w:val="007E72A6"/>
    <w:rsid w:val="007F1611"/>
    <w:rsid w:val="007F1C4A"/>
    <w:rsid w:val="007F1F7B"/>
    <w:rsid w:val="007F5AA9"/>
    <w:rsid w:val="00802DDB"/>
    <w:rsid w:val="0080468E"/>
    <w:rsid w:val="00805867"/>
    <w:rsid w:val="00806616"/>
    <w:rsid w:val="00812AA8"/>
    <w:rsid w:val="008131AB"/>
    <w:rsid w:val="0081377A"/>
    <w:rsid w:val="008151EB"/>
    <w:rsid w:val="00816A54"/>
    <w:rsid w:val="0082039D"/>
    <w:rsid w:val="00824414"/>
    <w:rsid w:val="008245E8"/>
    <w:rsid w:val="008249D0"/>
    <w:rsid w:val="0082594B"/>
    <w:rsid w:val="00825BD0"/>
    <w:rsid w:val="008310DE"/>
    <w:rsid w:val="008362EA"/>
    <w:rsid w:val="008379CA"/>
    <w:rsid w:val="00837F31"/>
    <w:rsid w:val="008423B1"/>
    <w:rsid w:val="00842B92"/>
    <w:rsid w:val="008443AF"/>
    <w:rsid w:val="008454EE"/>
    <w:rsid w:val="008458F4"/>
    <w:rsid w:val="00853CD2"/>
    <w:rsid w:val="00855F66"/>
    <w:rsid w:val="00856782"/>
    <w:rsid w:val="008577E1"/>
    <w:rsid w:val="00861AF0"/>
    <w:rsid w:val="00862583"/>
    <w:rsid w:val="00862926"/>
    <w:rsid w:val="00875289"/>
    <w:rsid w:val="00876B90"/>
    <w:rsid w:val="00877B14"/>
    <w:rsid w:val="00883057"/>
    <w:rsid w:val="00885970"/>
    <w:rsid w:val="008867AB"/>
    <w:rsid w:val="008938C7"/>
    <w:rsid w:val="00896A7F"/>
    <w:rsid w:val="008A101D"/>
    <w:rsid w:val="008A2AE1"/>
    <w:rsid w:val="008A2FC5"/>
    <w:rsid w:val="008A361D"/>
    <w:rsid w:val="008A3B04"/>
    <w:rsid w:val="008A3B9E"/>
    <w:rsid w:val="008A7747"/>
    <w:rsid w:val="008B2D5D"/>
    <w:rsid w:val="008B55DC"/>
    <w:rsid w:val="008B5ABF"/>
    <w:rsid w:val="008C0BA6"/>
    <w:rsid w:val="008C1170"/>
    <w:rsid w:val="008C229A"/>
    <w:rsid w:val="008C5A36"/>
    <w:rsid w:val="008C5D00"/>
    <w:rsid w:val="008C5D4A"/>
    <w:rsid w:val="008C7F2C"/>
    <w:rsid w:val="008D089C"/>
    <w:rsid w:val="008D3187"/>
    <w:rsid w:val="008D5685"/>
    <w:rsid w:val="008D5E79"/>
    <w:rsid w:val="008D6C67"/>
    <w:rsid w:val="008E24D5"/>
    <w:rsid w:val="008E3A1A"/>
    <w:rsid w:val="008E57E0"/>
    <w:rsid w:val="008E5829"/>
    <w:rsid w:val="008E5AC8"/>
    <w:rsid w:val="008E635A"/>
    <w:rsid w:val="008F1435"/>
    <w:rsid w:val="008F7598"/>
    <w:rsid w:val="009015C5"/>
    <w:rsid w:val="0090589D"/>
    <w:rsid w:val="0090623F"/>
    <w:rsid w:val="00910326"/>
    <w:rsid w:val="009129A9"/>
    <w:rsid w:val="009143C9"/>
    <w:rsid w:val="00916C19"/>
    <w:rsid w:val="00917645"/>
    <w:rsid w:val="00917BB4"/>
    <w:rsid w:val="00921053"/>
    <w:rsid w:val="00922599"/>
    <w:rsid w:val="00923B4F"/>
    <w:rsid w:val="009274C7"/>
    <w:rsid w:val="009301D3"/>
    <w:rsid w:val="0093020A"/>
    <w:rsid w:val="009323F2"/>
    <w:rsid w:val="00937FEC"/>
    <w:rsid w:val="00940161"/>
    <w:rsid w:val="009401FD"/>
    <w:rsid w:val="00940287"/>
    <w:rsid w:val="00942916"/>
    <w:rsid w:val="009430CB"/>
    <w:rsid w:val="009434C2"/>
    <w:rsid w:val="0094541C"/>
    <w:rsid w:val="009465C4"/>
    <w:rsid w:val="009478EA"/>
    <w:rsid w:val="009521F9"/>
    <w:rsid w:val="00952D62"/>
    <w:rsid w:val="00953BC7"/>
    <w:rsid w:val="00955599"/>
    <w:rsid w:val="00960522"/>
    <w:rsid w:val="00963A65"/>
    <w:rsid w:val="00970D9F"/>
    <w:rsid w:val="009715BE"/>
    <w:rsid w:val="00972B37"/>
    <w:rsid w:val="00972C0F"/>
    <w:rsid w:val="009804BA"/>
    <w:rsid w:val="009809F5"/>
    <w:rsid w:val="00984919"/>
    <w:rsid w:val="0098506B"/>
    <w:rsid w:val="0098561C"/>
    <w:rsid w:val="009866F3"/>
    <w:rsid w:val="00990919"/>
    <w:rsid w:val="00990AD8"/>
    <w:rsid w:val="00991170"/>
    <w:rsid w:val="00991573"/>
    <w:rsid w:val="00991805"/>
    <w:rsid w:val="00995940"/>
    <w:rsid w:val="009A0366"/>
    <w:rsid w:val="009A1427"/>
    <w:rsid w:val="009A2484"/>
    <w:rsid w:val="009A7234"/>
    <w:rsid w:val="009B131B"/>
    <w:rsid w:val="009B2B21"/>
    <w:rsid w:val="009B67FA"/>
    <w:rsid w:val="009B6AC7"/>
    <w:rsid w:val="009B711A"/>
    <w:rsid w:val="009B724C"/>
    <w:rsid w:val="009B744E"/>
    <w:rsid w:val="009C2CB5"/>
    <w:rsid w:val="009C7DC0"/>
    <w:rsid w:val="009D013B"/>
    <w:rsid w:val="009D3063"/>
    <w:rsid w:val="009D52D2"/>
    <w:rsid w:val="009D5FA1"/>
    <w:rsid w:val="009D78D6"/>
    <w:rsid w:val="009D7DAA"/>
    <w:rsid w:val="009E014F"/>
    <w:rsid w:val="009E0AEA"/>
    <w:rsid w:val="009E134A"/>
    <w:rsid w:val="009F00CD"/>
    <w:rsid w:val="009F00E4"/>
    <w:rsid w:val="009F0916"/>
    <w:rsid w:val="009F26DD"/>
    <w:rsid w:val="009F2B7C"/>
    <w:rsid w:val="009F2C50"/>
    <w:rsid w:val="009F42FC"/>
    <w:rsid w:val="009F5832"/>
    <w:rsid w:val="009F6F41"/>
    <w:rsid w:val="009F7EEA"/>
    <w:rsid w:val="00A01CDD"/>
    <w:rsid w:val="00A04FB2"/>
    <w:rsid w:val="00A052A6"/>
    <w:rsid w:val="00A11E5A"/>
    <w:rsid w:val="00A11E74"/>
    <w:rsid w:val="00A12B8B"/>
    <w:rsid w:val="00A1447A"/>
    <w:rsid w:val="00A14A57"/>
    <w:rsid w:val="00A14D44"/>
    <w:rsid w:val="00A150FB"/>
    <w:rsid w:val="00A26CE5"/>
    <w:rsid w:val="00A31811"/>
    <w:rsid w:val="00A33460"/>
    <w:rsid w:val="00A34DA9"/>
    <w:rsid w:val="00A35F9F"/>
    <w:rsid w:val="00A36E81"/>
    <w:rsid w:val="00A40F9F"/>
    <w:rsid w:val="00A431D6"/>
    <w:rsid w:val="00A43E8A"/>
    <w:rsid w:val="00A45DAB"/>
    <w:rsid w:val="00A50488"/>
    <w:rsid w:val="00A531FE"/>
    <w:rsid w:val="00A57E54"/>
    <w:rsid w:val="00A6402A"/>
    <w:rsid w:val="00A64DCB"/>
    <w:rsid w:val="00A70023"/>
    <w:rsid w:val="00A72DAC"/>
    <w:rsid w:val="00A731F4"/>
    <w:rsid w:val="00A73FB8"/>
    <w:rsid w:val="00A745C7"/>
    <w:rsid w:val="00A76D10"/>
    <w:rsid w:val="00A770CB"/>
    <w:rsid w:val="00A77715"/>
    <w:rsid w:val="00A77C36"/>
    <w:rsid w:val="00A8117D"/>
    <w:rsid w:val="00A81652"/>
    <w:rsid w:val="00A82F63"/>
    <w:rsid w:val="00A85777"/>
    <w:rsid w:val="00A8621D"/>
    <w:rsid w:val="00A87499"/>
    <w:rsid w:val="00A90648"/>
    <w:rsid w:val="00A96023"/>
    <w:rsid w:val="00AA0201"/>
    <w:rsid w:val="00AA2C34"/>
    <w:rsid w:val="00AA386A"/>
    <w:rsid w:val="00AA6163"/>
    <w:rsid w:val="00AA7E2B"/>
    <w:rsid w:val="00AB048F"/>
    <w:rsid w:val="00AB6ACF"/>
    <w:rsid w:val="00AC116F"/>
    <w:rsid w:val="00AC5EAA"/>
    <w:rsid w:val="00AC76C9"/>
    <w:rsid w:val="00AD0094"/>
    <w:rsid w:val="00AD11C6"/>
    <w:rsid w:val="00AD3045"/>
    <w:rsid w:val="00AD545B"/>
    <w:rsid w:val="00AD762C"/>
    <w:rsid w:val="00AE13C9"/>
    <w:rsid w:val="00AE1A79"/>
    <w:rsid w:val="00AE1B57"/>
    <w:rsid w:val="00AE4D73"/>
    <w:rsid w:val="00AE6EF1"/>
    <w:rsid w:val="00AE7FAF"/>
    <w:rsid w:val="00AF0CB3"/>
    <w:rsid w:val="00AF621F"/>
    <w:rsid w:val="00AF6258"/>
    <w:rsid w:val="00B02E13"/>
    <w:rsid w:val="00B1004C"/>
    <w:rsid w:val="00B11D04"/>
    <w:rsid w:val="00B125B5"/>
    <w:rsid w:val="00B12DC8"/>
    <w:rsid w:val="00B23E3D"/>
    <w:rsid w:val="00B2726F"/>
    <w:rsid w:val="00B30D13"/>
    <w:rsid w:val="00B31EFD"/>
    <w:rsid w:val="00B337B0"/>
    <w:rsid w:val="00B349CD"/>
    <w:rsid w:val="00B3639D"/>
    <w:rsid w:val="00B363BC"/>
    <w:rsid w:val="00B37C24"/>
    <w:rsid w:val="00B43FDD"/>
    <w:rsid w:val="00B45D5A"/>
    <w:rsid w:val="00B46073"/>
    <w:rsid w:val="00B46FE6"/>
    <w:rsid w:val="00B5068B"/>
    <w:rsid w:val="00B52F20"/>
    <w:rsid w:val="00B539C1"/>
    <w:rsid w:val="00B544E7"/>
    <w:rsid w:val="00B5628F"/>
    <w:rsid w:val="00B60BF0"/>
    <w:rsid w:val="00B638C6"/>
    <w:rsid w:val="00B66A9D"/>
    <w:rsid w:val="00B6715B"/>
    <w:rsid w:val="00B71D03"/>
    <w:rsid w:val="00B813DB"/>
    <w:rsid w:val="00B8177D"/>
    <w:rsid w:val="00B817D5"/>
    <w:rsid w:val="00B84B21"/>
    <w:rsid w:val="00B85126"/>
    <w:rsid w:val="00B87283"/>
    <w:rsid w:val="00B87DBC"/>
    <w:rsid w:val="00B91946"/>
    <w:rsid w:val="00B91C99"/>
    <w:rsid w:val="00B925D9"/>
    <w:rsid w:val="00B92C9A"/>
    <w:rsid w:val="00B9435B"/>
    <w:rsid w:val="00B95D53"/>
    <w:rsid w:val="00BA47A6"/>
    <w:rsid w:val="00BA492D"/>
    <w:rsid w:val="00BA5681"/>
    <w:rsid w:val="00BA6749"/>
    <w:rsid w:val="00BC1241"/>
    <w:rsid w:val="00BC16E1"/>
    <w:rsid w:val="00BC38EC"/>
    <w:rsid w:val="00BC3EA9"/>
    <w:rsid w:val="00BC6BA7"/>
    <w:rsid w:val="00BC6EC7"/>
    <w:rsid w:val="00BD013F"/>
    <w:rsid w:val="00BD2A7F"/>
    <w:rsid w:val="00BD679B"/>
    <w:rsid w:val="00BD7BB2"/>
    <w:rsid w:val="00BE0E51"/>
    <w:rsid w:val="00BE1A05"/>
    <w:rsid w:val="00BE1EBC"/>
    <w:rsid w:val="00BE4775"/>
    <w:rsid w:val="00BE5873"/>
    <w:rsid w:val="00BE7957"/>
    <w:rsid w:val="00BF3D7F"/>
    <w:rsid w:val="00BF4406"/>
    <w:rsid w:val="00BF483D"/>
    <w:rsid w:val="00BF5C30"/>
    <w:rsid w:val="00C01AF3"/>
    <w:rsid w:val="00C033EE"/>
    <w:rsid w:val="00C04642"/>
    <w:rsid w:val="00C04979"/>
    <w:rsid w:val="00C04A1E"/>
    <w:rsid w:val="00C04C8D"/>
    <w:rsid w:val="00C05072"/>
    <w:rsid w:val="00C0727F"/>
    <w:rsid w:val="00C10766"/>
    <w:rsid w:val="00C15DE8"/>
    <w:rsid w:val="00C20061"/>
    <w:rsid w:val="00C2099D"/>
    <w:rsid w:val="00C219B9"/>
    <w:rsid w:val="00C224DE"/>
    <w:rsid w:val="00C278BC"/>
    <w:rsid w:val="00C34ECE"/>
    <w:rsid w:val="00C42536"/>
    <w:rsid w:val="00C42B04"/>
    <w:rsid w:val="00C441BC"/>
    <w:rsid w:val="00C46F15"/>
    <w:rsid w:val="00C47355"/>
    <w:rsid w:val="00C4769F"/>
    <w:rsid w:val="00C51EED"/>
    <w:rsid w:val="00C52B14"/>
    <w:rsid w:val="00C54BB2"/>
    <w:rsid w:val="00C60B78"/>
    <w:rsid w:val="00C64126"/>
    <w:rsid w:val="00C65DD6"/>
    <w:rsid w:val="00C738E8"/>
    <w:rsid w:val="00C744D0"/>
    <w:rsid w:val="00C74AE0"/>
    <w:rsid w:val="00C82525"/>
    <w:rsid w:val="00C84845"/>
    <w:rsid w:val="00C84913"/>
    <w:rsid w:val="00C921A7"/>
    <w:rsid w:val="00CA001F"/>
    <w:rsid w:val="00CA12ED"/>
    <w:rsid w:val="00CA14A7"/>
    <w:rsid w:val="00CA2AA3"/>
    <w:rsid w:val="00CA2CA6"/>
    <w:rsid w:val="00CA338A"/>
    <w:rsid w:val="00CA3FB1"/>
    <w:rsid w:val="00CA45EF"/>
    <w:rsid w:val="00CA6960"/>
    <w:rsid w:val="00CA6C4D"/>
    <w:rsid w:val="00CA7139"/>
    <w:rsid w:val="00CB01C8"/>
    <w:rsid w:val="00CB2940"/>
    <w:rsid w:val="00CB3BFD"/>
    <w:rsid w:val="00CB4417"/>
    <w:rsid w:val="00CC0354"/>
    <w:rsid w:val="00CC1BD3"/>
    <w:rsid w:val="00CC59F4"/>
    <w:rsid w:val="00CC5E07"/>
    <w:rsid w:val="00CC6EEE"/>
    <w:rsid w:val="00CD060C"/>
    <w:rsid w:val="00CD1C47"/>
    <w:rsid w:val="00CD2341"/>
    <w:rsid w:val="00CD26CA"/>
    <w:rsid w:val="00CD4376"/>
    <w:rsid w:val="00CD5998"/>
    <w:rsid w:val="00CD6DC2"/>
    <w:rsid w:val="00CE062B"/>
    <w:rsid w:val="00CE25E8"/>
    <w:rsid w:val="00CE2951"/>
    <w:rsid w:val="00CF6F24"/>
    <w:rsid w:val="00D0196E"/>
    <w:rsid w:val="00D0376D"/>
    <w:rsid w:val="00D0470F"/>
    <w:rsid w:val="00D0594F"/>
    <w:rsid w:val="00D0702A"/>
    <w:rsid w:val="00D073DC"/>
    <w:rsid w:val="00D07736"/>
    <w:rsid w:val="00D12228"/>
    <w:rsid w:val="00D12DBF"/>
    <w:rsid w:val="00D1516E"/>
    <w:rsid w:val="00D15DD2"/>
    <w:rsid w:val="00D2153B"/>
    <w:rsid w:val="00D22F76"/>
    <w:rsid w:val="00D24C1F"/>
    <w:rsid w:val="00D272C9"/>
    <w:rsid w:val="00D306A8"/>
    <w:rsid w:val="00D30AF4"/>
    <w:rsid w:val="00D32F3B"/>
    <w:rsid w:val="00D33264"/>
    <w:rsid w:val="00D33FAA"/>
    <w:rsid w:val="00D34180"/>
    <w:rsid w:val="00D34D0C"/>
    <w:rsid w:val="00D35AFC"/>
    <w:rsid w:val="00D432FD"/>
    <w:rsid w:val="00D438DC"/>
    <w:rsid w:val="00D439D8"/>
    <w:rsid w:val="00D443AF"/>
    <w:rsid w:val="00D45989"/>
    <w:rsid w:val="00D460CE"/>
    <w:rsid w:val="00D46BDF"/>
    <w:rsid w:val="00D47A44"/>
    <w:rsid w:val="00D51D0C"/>
    <w:rsid w:val="00D60971"/>
    <w:rsid w:val="00D6100D"/>
    <w:rsid w:val="00D6137C"/>
    <w:rsid w:val="00D6481E"/>
    <w:rsid w:val="00D65C7D"/>
    <w:rsid w:val="00D6725E"/>
    <w:rsid w:val="00D67EB2"/>
    <w:rsid w:val="00D720F8"/>
    <w:rsid w:val="00D74E49"/>
    <w:rsid w:val="00D75B71"/>
    <w:rsid w:val="00D8026C"/>
    <w:rsid w:val="00D87D23"/>
    <w:rsid w:val="00D90F23"/>
    <w:rsid w:val="00D93016"/>
    <w:rsid w:val="00D93CD3"/>
    <w:rsid w:val="00D94621"/>
    <w:rsid w:val="00D95AF3"/>
    <w:rsid w:val="00D95EFE"/>
    <w:rsid w:val="00D972EE"/>
    <w:rsid w:val="00D97729"/>
    <w:rsid w:val="00DA6121"/>
    <w:rsid w:val="00DA6FAC"/>
    <w:rsid w:val="00DA727A"/>
    <w:rsid w:val="00DB0F64"/>
    <w:rsid w:val="00DB19F3"/>
    <w:rsid w:val="00DB2B61"/>
    <w:rsid w:val="00DB536B"/>
    <w:rsid w:val="00DC642B"/>
    <w:rsid w:val="00DD14D8"/>
    <w:rsid w:val="00DD2846"/>
    <w:rsid w:val="00DD3197"/>
    <w:rsid w:val="00DD514E"/>
    <w:rsid w:val="00DD61F6"/>
    <w:rsid w:val="00DD6465"/>
    <w:rsid w:val="00DD6B05"/>
    <w:rsid w:val="00DD6B5D"/>
    <w:rsid w:val="00DD6BA3"/>
    <w:rsid w:val="00DD6CC1"/>
    <w:rsid w:val="00DE0085"/>
    <w:rsid w:val="00DE355D"/>
    <w:rsid w:val="00DE49EE"/>
    <w:rsid w:val="00DE603C"/>
    <w:rsid w:val="00DE62FF"/>
    <w:rsid w:val="00DE7038"/>
    <w:rsid w:val="00DE7B1E"/>
    <w:rsid w:val="00DE7DF4"/>
    <w:rsid w:val="00DF40DC"/>
    <w:rsid w:val="00DF41B8"/>
    <w:rsid w:val="00E0055B"/>
    <w:rsid w:val="00E06769"/>
    <w:rsid w:val="00E07DED"/>
    <w:rsid w:val="00E10C76"/>
    <w:rsid w:val="00E1201E"/>
    <w:rsid w:val="00E13888"/>
    <w:rsid w:val="00E13B78"/>
    <w:rsid w:val="00E13D57"/>
    <w:rsid w:val="00E2034B"/>
    <w:rsid w:val="00E22525"/>
    <w:rsid w:val="00E228FD"/>
    <w:rsid w:val="00E2494A"/>
    <w:rsid w:val="00E253C6"/>
    <w:rsid w:val="00E25BA8"/>
    <w:rsid w:val="00E2685E"/>
    <w:rsid w:val="00E26F5A"/>
    <w:rsid w:val="00E3053C"/>
    <w:rsid w:val="00E32A1A"/>
    <w:rsid w:val="00E35386"/>
    <w:rsid w:val="00E36919"/>
    <w:rsid w:val="00E36F55"/>
    <w:rsid w:val="00E4452B"/>
    <w:rsid w:val="00E461C6"/>
    <w:rsid w:val="00E526D7"/>
    <w:rsid w:val="00E54A21"/>
    <w:rsid w:val="00E54ED6"/>
    <w:rsid w:val="00E61396"/>
    <w:rsid w:val="00E6294C"/>
    <w:rsid w:val="00E6518C"/>
    <w:rsid w:val="00E73046"/>
    <w:rsid w:val="00E743FB"/>
    <w:rsid w:val="00E75C08"/>
    <w:rsid w:val="00E819E6"/>
    <w:rsid w:val="00E82362"/>
    <w:rsid w:val="00E828E1"/>
    <w:rsid w:val="00E84C20"/>
    <w:rsid w:val="00E84D36"/>
    <w:rsid w:val="00E87F7D"/>
    <w:rsid w:val="00E910B9"/>
    <w:rsid w:val="00E92233"/>
    <w:rsid w:val="00E923A9"/>
    <w:rsid w:val="00E93E20"/>
    <w:rsid w:val="00E95E5F"/>
    <w:rsid w:val="00EA0C16"/>
    <w:rsid w:val="00EA1300"/>
    <w:rsid w:val="00EA13C2"/>
    <w:rsid w:val="00EA2B78"/>
    <w:rsid w:val="00EA3FCA"/>
    <w:rsid w:val="00EA5DB3"/>
    <w:rsid w:val="00EA6EB1"/>
    <w:rsid w:val="00EA79A4"/>
    <w:rsid w:val="00EB06EC"/>
    <w:rsid w:val="00EB0797"/>
    <w:rsid w:val="00EB2B86"/>
    <w:rsid w:val="00EB7D49"/>
    <w:rsid w:val="00EC5FA6"/>
    <w:rsid w:val="00EC69E5"/>
    <w:rsid w:val="00ED0EB0"/>
    <w:rsid w:val="00ED0F86"/>
    <w:rsid w:val="00ED1BD8"/>
    <w:rsid w:val="00ED2228"/>
    <w:rsid w:val="00ED4BC8"/>
    <w:rsid w:val="00ED7F50"/>
    <w:rsid w:val="00EE0447"/>
    <w:rsid w:val="00EE1E3C"/>
    <w:rsid w:val="00EE23EB"/>
    <w:rsid w:val="00EE4C2E"/>
    <w:rsid w:val="00EE53E8"/>
    <w:rsid w:val="00EF124C"/>
    <w:rsid w:val="00EF1F4A"/>
    <w:rsid w:val="00EF5351"/>
    <w:rsid w:val="00EF5B1F"/>
    <w:rsid w:val="00EF727B"/>
    <w:rsid w:val="00EF750D"/>
    <w:rsid w:val="00EF76D3"/>
    <w:rsid w:val="00F003FE"/>
    <w:rsid w:val="00F00F72"/>
    <w:rsid w:val="00F0553B"/>
    <w:rsid w:val="00F079FC"/>
    <w:rsid w:val="00F07D61"/>
    <w:rsid w:val="00F105E8"/>
    <w:rsid w:val="00F11512"/>
    <w:rsid w:val="00F118DA"/>
    <w:rsid w:val="00F11BB2"/>
    <w:rsid w:val="00F13A38"/>
    <w:rsid w:val="00F15750"/>
    <w:rsid w:val="00F15AF3"/>
    <w:rsid w:val="00F17B4D"/>
    <w:rsid w:val="00F2227B"/>
    <w:rsid w:val="00F22A6E"/>
    <w:rsid w:val="00F231F7"/>
    <w:rsid w:val="00F247EB"/>
    <w:rsid w:val="00F24DDB"/>
    <w:rsid w:val="00F2671D"/>
    <w:rsid w:val="00F26D76"/>
    <w:rsid w:val="00F27440"/>
    <w:rsid w:val="00F31DDB"/>
    <w:rsid w:val="00F32233"/>
    <w:rsid w:val="00F35A3A"/>
    <w:rsid w:val="00F35E3A"/>
    <w:rsid w:val="00F3681B"/>
    <w:rsid w:val="00F37B6C"/>
    <w:rsid w:val="00F40274"/>
    <w:rsid w:val="00F43225"/>
    <w:rsid w:val="00F4791B"/>
    <w:rsid w:val="00F51D51"/>
    <w:rsid w:val="00F52CAD"/>
    <w:rsid w:val="00F55683"/>
    <w:rsid w:val="00F56193"/>
    <w:rsid w:val="00F56B5B"/>
    <w:rsid w:val="00F60150"/>
    <w:rsid w:val="00F60544"/>
    <w:rsid w:val="00F60893"/>
    <w:rsid w:val="00F6190E"/>
    <w:rsid w:val="00F63602"/>
    <w:rsid w:val="00F63EB6"/>
    <w:rsid w:val="00F642B6"/>
    <w:rsid w:val="00F64757"/>
    <w:rsid w:val="00F647A2"/>
    <w:rsid w:val="00F66690"/>
    <w:rsid w:val="00F67585"/>
    <w:rsid w:val="00F676F9"/>
    <w:rsid w:val="00F719D2"/>
    <w:rsid w:val="00F726DF"/>
    <w:rsid w:val="00F72BDA"/>
    <w:rsid w:val="00F7319D"/>
    <w:rsid w:val="00F74744"/>
    <w:rsid w:val="00F75B53"/>
    <w:rsid w:val="00F75C10"/>
    <w:rsid w:val="00F7650D"/>
    <w:rsid w:val="00F765A6"/>
    <w:rsid w:val="00F7733B"/>
    <w:rsid w:val="00F96F91"/>
    <w:rsid w:val="00FA0511"/>
    <w:rsid w:val="00FA0A5A"/>
    <w:rsid w:val="00FA0E65"/>
    <w:rsid w:val="00FA10A6"/>
    <w:rsid w:val="00FA3D4E"/>
    <w:rsid w:val="00FA4138"/>
    <w:rsid w:val="00FA72FC"/>
    <w:rsid w:val="00FB103A"/>
    <w:rsid w:val="00FB1D5D"/>
    <w:rsid w:val="00FB2D7D"/>
    <w:rsid w:val="00FB45B3"/>
    <w:rsid w:val="00FB4BFC"/>
    <w:rsid w:val="00FB4EB2"/>
    <w:rsid w:val="00FB5C58"/>
    <w:rsid w:val="00FB6F39"/>
    <w:rsid w:val="00FB73A8"/>
    <w:rsid w:val="00FB75C0"/>
    <w:rsid w:val="00FC34F3"/>
    <w:rsid w:val="00FC5C16"/>
    <w:rsid w:val="00FC72AB"/>
    <w:rsid w:val="00FC76C6"/>
    <w:rsid w:val="00FD1B82"/>
    <w:rsid w:val="00FD5F35"/>
    <w:rsid w:val="00FD78D7"/>
    <w:rsid w:val="00FD7B17"/>
    <w:rsid w:val="00FE23A4"/>
    <w:rsid w:val="00FE30BC"/>
    <w:rsid w:val="00FE6519"/>
    <w:rsid w:val="00FF228A"/>
    <w:rsid w:val="00FF6537"/>
    <w:rsid w:val="00FF663A"/>
    <w:rsid w:val="00FF68D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1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5ACC"/>
    <w:rPr>
      <w:sz w:val="24"/>
      <w:szCs w:val="24"/>
    </w:rPr>
  </w:style>
  <w:style w:type="paragraph" w:styleId="Heading1">
    <w:name w:val="heading 1"/>
    <w:basedOn w:val="Normal"/>
    <w:next w:val="Normal"/>
    <w:link w:val="Heading1Char"/>
    <w:uiPriority w:val="9"/>
    <w:qFormat/>
    <w:rsid w:val="003C5ACC"/>
    <w:pPr>
      <w:keepNext/>
      <w:keepLines/>
      <w:pageBreakBefore/>
      <w:numPr>
        <w:numId w:val="3"/>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3C5ACC"/>
    <w:pPr>
      <w:keepNext/>
      <w:keepLines/>
      <w:spacing w:before="170" w:after="170" w:line="280" w:lineRule="atLeast"/>
      <w:outlineLvl w:val="1"/>
    </w:pPr>
    <w:rPr>
      <w:rFonts w:ascii="Cambria" w:hAnsi="Cambria"/>
      <w:bCs/>
      <w:color w:val="FF7900"/>
      <w:sz w:val="34"/>
      <w:szCs w:val="26"/>
      <w:lang w:eastAsia="en-US"/>
    </w:rPr>
  </w:style>
  <w:style w:type="paragraph" w:styleId="Heading3">
    <w:name w:val="heading 3"/>
    <w:basedOn w:val="Normal"/>
    <w:next w:val="Normal"/>
    <w:link w:val="Heading3Char"/>
    <w:unhideWhenUsed/>
    <w:qFormat/>
    <w:rsid w:val="003C5ACC"/>
    <w:pPr>
      <w:keepNext/>
      <w:keepLines/>
      <w:spacing w:before="200"/>
      <w:outlineLvl w:val="2"/>
    </w:pPr>
    <w:rPr>
      <w:rFonts w:ascii="Cambria" w:hAnsi="Cambria"/>
      <w:b/>
      <w:bCs/>
      <w:color w:val="4F81BD"/>
    </w:rPr>
  </w:style>
  <w:style w:type="paragraph" w:styleId="Heading4">
    <w:name w:val="heading 4"/>
    <w:basedOn w:val="Normal"/>
    <w:next w:val="Normal"/>
    <w:link w:val="Heading4Char"/>
    <w:unhideWhenUsed/>
    <w:qFormat/>
    <w:rsid w:val="003C5ACC"/>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1"/>
    <w:rsid w:val="003C5ACC"/>
    <w:rPr>
      <w:rFonts w:ascii="Cambria" w:eastAsia="Times New Roman" w:hAnsi="Cambria" w:cs="Times New Roman"/>
      <w:bCs/>
      <w:color w:val="FF7900"/>
      <w:sz w:val="34"/>
      <w:szCs w:val="26"/>
      <w:lang w:eastAsia="en-US"/>
    </w:rPr>
  </w:style>
  <w:style w:type="character" w:styleId="Hyperlink">
    <w:name w:val="Hyperlink"/>
    <w:basedOn w:val="DefaultParagraphFont"/>
    <w:uiPriority w:val="99"/>
    <w:unhideWhenUsed/>
    <w:rsid w:val="003C5ACC"/>
    <w:rPr>
      <w:color w:val="0000FF"/>
      <w:u w:val="single"/>
    </w:rPr>
  </w:style>
  <w:style w:type="paragraph" w:styleId="ListBullet">
    <w:name w:val="List Bullet"/>
    <w:basedOn w:val="Normal"/>
    <w:rsid w:val="003C5ACC"/>
    <w:pPr>
      <w:numPr>
        <w:numId w:val="1"/>
      </w:numPr>
      <w:spacing w:before="120"/>
    </w:pPr>
    <w:rPr>
      <w:rFonts w:ascii="Arial" w:hAnsi="Arial"/>
      <w:sz w:val="20"/>
    </w:rPr>
  </w:style>
  <w:style w:type="character" w:customStyle="1" w:styleId="Heading1Char">
    <w:name w:val="Heading 1 Char"/>
    <w:basedOn w:val="DefaultParagraphFont"/>
    <w:link w:val="Heading1"/>
    <w:uiPriority w:val="9"/>
    <w:rsid w:val="003C5ACC"/>
    <w:rPr>
      <w:rFonts w:ascii="Calibri" w:eastAsia="Times New Roman" w:hAnsi="Calibri" w:cs="Times New Roman"/>
      <w:bCs/>
      <w:color w:val="000000"/>
      <w:sz w:val="56"/>
      <w:szCs w:val="28"/>
      <w:lang w:eastAsia="en-US"/>
    </w:rPr>
  </w:style>
  <w:style w:type="paragraph" w:styleId="Header">
    <w:name w:val="header"/>
    <w:basedOn w:val="Normal"/>
    <w:link w:val="HeaderChar"/>
    <w:uiPriority w:val="99"/>
    <w:rsid w:val="003C5ACC"/>
    <w:pPr>
      <w:tabs>
        <w:tab w:val="center" w:pos="4513"/>
        <w:tab w:val="right" w:pos="9026"/>
      </w:tabs>
    </w:pPr>
  </w:style>
  <w:style w:type="character" w:customStyle="1" w:styleId="HeaderChar">
    <w:name w:val="Header Char"/>
    <w:basedOn w:val="DefaultParagraphFont"/>
    <w:link w:val="Header"/>
    <w:uiPriority w:val="99"/>
    <w:rsid w:val="003C5ACC"/>
    <w:rPr>
      <w:sz w:val="24"/>
      <w:szCs w:val="24"/>
    </w:rPr>
  </w:style>
  <w:style w:type="paragraph" w:styleId="Footer">
    <w:name w:val="footer"/>
    <w:basedOn w:val="Normal"/>
    <w:link w:val="FooterChar"/>
    <w:uiPriority w:val="99"/>
    <w:rsid w:val="003C5ACC"/>
    <w:pPr>
      <w:tabs>
        <w:tab w:val="center" w:pos="4513"/>
        <w:tab w:val="right" w:pos="9026"/>
      </w:tabs>
    </w:pPr>
  </w:style>
  <w:style w:type="character" w:customStyle="1" w:styleId="FooterChar">
    <w:name w:val="Footer Char"/>
    <w:basedOn w:val="DefaultParagraphFont"/>
    <w:link w:val="Footer"/>
    <w:uiPriority w:val="99"/>
    <w:rsid w:val="003C5ACC"/>
    <w:rPr>
      <w:sz w:val="24"/>
      <w:szCs w:val="24"/>
    </w:rPr>
  </w:style>
  <w:style w:type="paragraph" w:styleId="BodyText">
    <w:name w:val="Body Text"/>
    <w:basedOn w:val="Normal"/>
    <w:link w:val="BodyTextChar"/>
    <w:rsid w:val="003C5ACC"/>
    <w:pPr>
      <w:spacing w:after="120"/>
    </w:pPr>
    <w:rPr>
      <w:lang w:eastAsia="en-US"/>
    </w:rPr>
  </w:style>
  <w:style w:type="character" w:customStyle="1" w:styleId="BodyTextChar">
    <w:name w:val="Body Text Char"/>
    <w:basedOn w:val="DefaultParagraphFont"/>
    <w:link w:val="BodyText"/>
    <w:rsid w:val="003C5ACC"/>
    <w:rPr>
      <w:sz w:val="24"/>
      <w:szCs w:val="24"/>
      <w:lang w:eastAsia="en-US"/>
    </w:rPr>
  </w:style>
  <w:style w:type="character" w:customStyle="1" w:styleId="Heading3Char">
    <w:name w:val="Heading 3 Char"/>
    <w:basedOn w:val="DefaultParagraphFont"/>
    <w:link w:val="Heading3"/>
    <w:rsid w:val="003C5ACC"/>
    <w:rPr>
      <w:rFonts w:ascii="Cambria" w:eastAsia="Times New Roman" w:hAnsi="Cambria" w:cs="Times New Roman"/>
      <w:b/>
      <w:bCs/>
      <w:color w:val="4F81BD"/>
      <w:sz w:val="24"/>
      <w:szCs w:val="24"/>
    </w:rPr>
  </w:style>
  <w:style w:type="character" w:customStyle="1" w:styleId="Heading4Char">
    <w:name w:val="Heading 4 Char"/>
    <w:basedOn w:val="DefaultParagraphFont"/>
    <w:link w:val="Heading4"/>
    <w:rsid w:val="003C5ACC"/>
    <w:rPr>
      <w:rFonts w:ascii="Cambria" w:eastAsia="Times New Roman" w:hAnsi="Cambria" w:cs="Times New Roman"/>
      <w:b/>
      <w:bCs/>
      <w:i/>
      <w:iCs/>
      <w:color w:val="4F81BD"/>
      <w:sz w:val="24"/>
      <w:szCs w:val="24"/>
    </w:rPr>
  </w:style>
  <w:style w:type="paragraph" w:styleId="ListParagraph">
    <w:name w:val="List Paragraph"/>
    <w:basedOn w:val="Normal"/>
    <w:uiPriority w:val="34"/>
    <w:qFormat/>
    <w:rsid w:val="003C5ACC"/>
    <w:pPr>
      <w:spacing w:after="200" w:line="276" w:lineRule="auto"/>
      <w:ind w:left="720"/>
      <w:contextualSpacing/>
    </w:pPr>
    <w:rPr>
      <w:rFonts w:ascii="Calibri" w:eastAsia="Calibri" w:hAnsi="Calibri"/>
      <w:sz w:val="22"/>
      <w:szCs w:val="22"/>
      <w:lang w:eastAsia="en-US"/>
    </w:rPr>
  </w:style>
  <w:style w:type="character" w:styleId="HTMLCite">
    <w:name w:val="HTML Cite"/>
    <w:basedOn w:val="DefaultParagraphFont"/>
    <w:uiPriority w:val="99"/>
    <w:unhideWhenUsed/>
    <w:rsid w:val="003C5ACC"/>
    <w:rPr>
      <w:i/>
      <w:iCs/>
    </w:rPr>
  </w:style>
  <w:style w:type="paragraph" w:styleId="BalloonText">
    <w:name w:val="Balloon Text"/>
    <w:basedOn w:val="Normal"/>
    <w:link w:val="BalloonTextChar"/>
    <w:rsid w:val="003C5ACC"/>
    <w:rPr>
      <w:rFonts w:ascii="Tahoma" w:hAnsi="Tahoma" w:cs="Tahoma"/>
      <w:sz w:val="16"/>
      <w:szCs w:val="16"/>
    </w:rPr>
  </w:style>
  <w:style w:type="character" w:customStyle="1" w:styleId="BalloonTextChar">
    <w:name w:val="Balloon Text Char"/>
    <w:basedOn w:val="DefaultParagraphFont"/>
    <w:link w:val="BalloonText"/>
    <w:rsid w:val="003C5ACC"/>
    <w:rPr>
      <w:rFonts w:ascii="Tahoma" w:hAnsi="Tahoma" w:cs="Tahoma"/>
      <w:sz w:val="16"/>
      <w:szCs w:val="16"/>
    </w:rPr>
  </w:style>
  <w:style w:type="paragraph" w:styleId="Caption">
    <w:name w:val="caption"/>
    <w:basedOn w:val="Normal"/>
    <w:uiPriority w:val="35"/>
    <w:unhideWhenUsed/>
    <w:qFormat/>
    <w:rsid w:val="003C5ACC"/>
    <w:pPr>
      <w:spacing w:after="200"/>
    </w:pPr>
    <w:rPr>
      <w:rFonts w:ascii="Calibri" w:eastAsia="Calibri" w:hAnsi="Calibri"/>
      <w:b/>
      <w:bCs/>
      <w:color w:val="4F81BD"/>
      <w:sz w:val="18"/>
      <w:szCs w:val="18"/>
    </w:rPr>
  </w:style>
  <w:style w:type="character" w:styleId="FollowedHyperlink">
    <w:name w:val="FollowedHyperlink"/>
    <w:basedOn w:val="DefaultParagraphFont"/>
    <w:rsid w:val="003C5ACC"/>
    <w:rPr>
      <w:color w:val="800080"/>
      <w:u w:val="single"/>
    </w:rPr>
  </w:style>
  <w:style w:type="character" w:styleId="CommentReference">
    <w:name w:val="annotation reference"/>
    <w:basedOn w:val="DefaultParagraphFont"/>
    <w:rsid w:val="003C5ACC"/>
    <w:rPr>
      <w:sz w:val="16"/>
      <w:szCs w:val="16"/>
    </w:rPr>
  </w:style>
  <w:style w:type="paragraph" w:styleId="CommentText">
    <w:name w:val="annotation text"/>
    <w:basedOn w:val="Normal"/>
    <w:link w:val="CommentTextChar"/>
    <w:rsid w:val="003C5ACC"/>
    <w:rPr>
      <w:sz w:val="20"/>
      <w:szCs w:val="20"/>
    </w:rPr>
  </w:style>
  <w:style w:type="character" w:customStyle="1" w:styleId="CommentTextChar">
    <w:name w:val="Comment Text Char"/>
    <w:basedOn w:val="DefaultParagraphFont"/>
    <w:link w:val="CommentText"/>
    <w:rsid w:val="003C5ACC"/>
  </w:style>
  <w:style w:type="paragraph" w:styleId="CommentSubject">
    <w:name w:val="annotation subject"/>
    <w:basedOn w:val="CommentText"/>
    <w:next w:val="CommentText"/>
    <w:link w:val="CommentSubjectChar"/>
    <w:rsid w:val="003C5ACC"/>
    <w:rPr>
      <w:b/>
      <w:bCs/>
    </w:rPr>
  </w:style>
  <w:style w:type="character" w:customStyle="1" w:styleId="CommentSubjectChar">
    <w:name w:val="Comment Subject Char"/>
    <w:basedOn w:val="CommentTextChar"/>
    <w:link w:val="CommentSubject"/>
    <w:rsid w:val="003C5ACC"/>
    <w:rPr>
      <w:b/>
      <w:bCs/>
    </w:rPr>
  </w:style>
  <w:style w:type="paragraph" w:styleId="NoSpacing">
    <w:name w:val="No Spacing"/>
    <w:uiPriority w:val="1"/>
    <w:qFormat/>
    <w:rsid w:val="00251F96"/>
    <w:rPr>
      <w:rFonts w:ascii="Calibri" w:eastAsia="Calibri" w:hAnsi="Calibri"/>
      <w:sz w:val="22"/>
      <w:szCs w:val="22"/>
      <w:lang w:eastAsia="en-US"/>
    </w:rPr>
  </w:style>
  <w:style w:type="paragraph" w:styleId="NormalWeb">
    <w:name w:val="Normal (Web)"/>
    <w:basedOn w:val="Normal"/>
    <w:uiPriority w:val="99"/>
    <w:unhideWhenUsed/>
    <w:rsid w:val="00BD2A7F"/>
    <w:rPr>
      <w:rFonts w:ascii="Arial" w:hAnsi="Arial" w:cs="Arial"/>
    </w:rPr>
  </w:style>
  <w:style w:type="table" w:styleId="TableGrid">
    <w:name w:val="Table Grid"/>
    <w:basedOn w:val="TableNormal"/>
    <w:rsid w:val="009F42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B349CD"/>
    <w:rPr>
      <w:sz w:val="24"/>
      <w:szCs w:val="24"/>
    </w:rPr>
  </w:style>
  <w:style w:type="paragraph" w:customStyle="1" w:styleId="Default">
    <w:name w:val="Default"/>
    <w:rsid w:val="00373CFD"/>
    <w:pPr>
      <w:autoSpaceDE w:val="0"/>
      <w:autoSpaceDN w:val="0"/>
      <w:adjustRightInd w:val="0"/>
    </w:pPr>
    <w:rPr>
      <w:color w:val="000000"/>
      <w:sz w:val="24"/>
      <w:szCs w:val="24"/>
    </w:rPr>
  </w:style>
  <w:style w:type="paragraph" w:styleId="HTMLPreformatted">
    <w:name w:val="HTML Preformatted"/>
    <w:basedOn w:val="Normal"/>
    <w:link w:val="HTMLPreformattedChar"/>
    <w:uiPriority w:val="99"/>
    <w:unhideWhenUsed/>
    <w:rsid w:val="00FB73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2"/>
      <w:szCs w:val="12"/>
    </w:rPr>
  </w:style>
  <w:style w:type="character" w:customStyle="1" w:styleId="HTMLPreformattedChar">
    <w:name w:val="HTML Preformatted Char"/>
    <w:basedOn w:val="DefaultParagraphFont"/>
    <w:link w:val="HTMLPreformatted"/>
    <w:uiPriority w:val="99"/>
    <w:rsid w:val="00FB73A8"/>
    <w:rPr>
      <w:rFonts w:ascii="Courier New" w:hAnsi="Courier New" w:cs="Courier New"/>
      <w:sz w:val="12"/>
      <w:szCs w:val="12"/>
    </w:rPr>
  </w:style>
</w:styles>
</file>

<file path=word/webSettings.xml><?xml version="1.0" encoding="utf-8"?>
<w:webSettings xmlns:r="http://schemas.openxmlformats.org/officeDocument/2006/relationships" xmlns:w="http://schemas.openxmlformats.org/wordprocessingml/2006/main">
  <w:divs>
    <w:div w:id="3174088">
      <w:bodyDiv w:val="1"/>
      <w:marLeft w:val="0"/>
      <w:marRight w:val="0"/>
      <w:marTop w:val="0"/>
      <w:marBottom w:val="0"/>
      <w:divBdr>
        <w:top w:val="none" w:sz="0" w:space="0" w:color="auto"/>
        <w:left w:val="none" w:sz="0" w:space="0" w:color="auto"/>
        <w:bottom w:val="none" w:sz="0" w:space="0" w:color="auto"/>
        <w:right w:val="none" w:sz="0" w:space="0" w:color="auto"/>
      </w:divBdr>
    </w:div>
    <w:div w:id="30694327">
      <w:bodyDiv w:val="1"/>
      <w:marLeft w:val="0"/>
      <w:marRight w:val="0"/>
      <w:marTop w:val="0"/>
      <w:marBottom w:val="0"/>
      <w:divBdr>
        <w:top w:val="none" w:sz="0" w:space="0" w:color="auto"/>
        <w:left w:val="none" w:sz="0" w:space="0" w:color="auto"/>
        <w:bottom w:val="none" w:sz="0" w:space="0" w:color="auto"/>
        <w:right w:val="none" w:sz="0" w:space="0" w:color="auto"/>
      </w:divBdr>
    </w:div>
    <w:div w:id="112746772">
      <w:bodyDiv w:val="1"/>
      <w:marLeft w:val="0"/>
      <w:marRight w:val="0"/>
      <w:marTop w:val="0"/>
      <w:marBottom w:val="0"/>
      <w:divBdr>
        <w:top w:val="none" w:sz="0" w:space="0" w:color="auto"/>
        <w:left w:val="none" w:sz="0" w:space="0" w:color="auto"/>
        <w:bottom w:val="none" w:sz="0" w:space="0" w:color="auto"/>
        <w:right w:val="none" w:sz="0" w:space="0" w:color="auto"/>
      </w:divBdr>
      <w:divsChild>
        <w:div w:id="1538664060">
          <w:marLeft w:val="0"/>
          <w:marRight w:val="0"/>
          <w:marTop w:val="0"/>
          <w:marBottom w:val="0"/>
          <w:divBdr>
            <w:top w:val="none" w:sz="0" w:space="0" w:color="auto"/>
            <w:left w:val="none" w:sz="0" w:space="0" w:color="auto"/>
            <w:bottom w:val="none" w:sz="0" w:space="0" w:color="auto"/>
            <w:right w:val="none" w:sz="0" w:space="0" w:color="auto"/>
          </w:divBdr>
          <w:divsChild>
            <w:div w:id="1460608278">
              <w:marLeft w:val="0"/>
              <w:marRight w:val="0"/>
              <w:marTop w:val="0"/>
              <w:marBottom w:val="0"/>
              <w:divBdr>
                <w:top w:val="none" w:sz="0" w:space="0" w:color="auto"/>
                <w:left w:val="none" w:sz="0" w:space="0" w:color="auto"/>
                <w:bottom w:val="none" w:sz="0" w:space="0" w:color="auto"/>
                <w:right w:val="none" w:sz="0" w:space="0" w:color="auto"/>
              </w:divBdr>
              <w:divsChild>
                <w:div w:id="2071535267">
                  <w:marLeft w:val="0"/>
                  <w:marRight w:val="0"/>
                  <w:marTop w:val="0"/>
                  <w:marBottom w:val="0"/>
                  <w:divBdr>
                    <w:top w:val="none" w:sz="0" w:space="0" w:color="auto"/>
                    <w:left w:val="none" w:sz="0" w:space="0" w:color="auto"/>
                    <w:bottom w:val="none" w:sz="0" w:space="0" w:color="auto"/>
                    <w:right w:val="none" w:sz="0" w:space="0" w:color="auto"/>
                  </w:divBdr>
                  <w:divsChild>
                    <w:div w:id="49522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9667">
      <w:bodyDiv w:val="1"/>
      <w:marLeft w:val="0"/>
      <w:marRight w:val="0"/>
      <w:marTop w:val="0"/>
      <w:marBottom w:val="0"/>
      <w:divBdr>
        <w:top w:val="none" w:sz="0" w:space="0" w:color="auto"/>
        <w:left w:val="none" w:sz="0" w:space="0" w:color="auto"/>
        <w:bottom w:val="none" w:sz="0" w:space="0" w:color="auto"/>
        <w:right w:val="none" w:sz="0" w:space="0" w:color="auto"/>
      </w:divBdr>
    </w:div>
    <w:div w:id="211968767">
      <w:bodyDiv w:val="1"/>
      <w:marLeft w:val="0"/>
      <w:marRight w:val="0"/>
      <w:marTop w:val="0"/>
      <w:marBottom w:val="0"/>
      <w:divBdr>
        <w:top w:val="none" w:sz="0" w:space="0" w:color="auto"/>
        <w:left w:val="none" w:sz="0" w:space="0" w:color="auto"/>
        <w:bottom w:val="none" w:sz="0" w:space="0" w:color="auto"/>
        <w:right w:val="none" w:sz="0" w:space="0" w:color="auto"/>
      </w:divBdr>
    </w:div>
    <w:div w:id="289898476">
      <w:bodyDiv w:val="1"/>
      <w:marLeft w:val="0"/>
      <w:marRight w:val="0"/>
      <w:marTop w:val="0"/>
      <w:marBottom w:val="0"/>
      <w:divBdr>
        <w:top w:val="none" w:sz="0" w:space="0" w:color="auto"/>
        <w:left w:val="none" w:sz="0" w:space="0" w:color="auto"/>
        <w:bottom w:val="none" w:sz="0" w:space="0" w:color="auto"/>
        <w:right w:val="none" w:sz="0" w:space="0" w:color="auto"/>
      </w:divBdr>
    </w:div>
    <w:div w:id="314116435">
      <w:bodyDiv w:val="1"/>
      <w:marLeft w:val="0"/>
      <w:marRight w:val="0"/>
      <w:marTop w:val="0"/>
      <w:marBottom w:val="0"/>
      <w:divBdr>
        <w:top w:val="none" w:sz="0" w:space="0" w:color="auto"/>
        <w:left w:val="none" w:sz="0" w:space="0" w:color="auto"/>
        <w:bottom w:val="none" w:sz="0" w:space="0" w:color="auto"/>
        <w:right w:val="none" w:sz="0" w:space="0" w:color="auto"/>
      </w:divBdr>
    </w:div>
    <w:div w:id="575211082">
      <w:bodyDiv w:val="1"/>
      <w:marLeft w:val="0"/>
      <w:marRight w:val="0"/>
      <w:marTop w:val="0"/>
      <w:marBottom w:val="0"/>
      <w:divBdr>
        <w:top w:val="none" w:sz="0" w:space="0" w:color="auto"/>
        <w:left w:val="none" w:sz="0" w:space="0" w:color="auto"/>
        <w:bottom w:val="none" w:sz="0" w:space="0" w:color="auto"/>
        <w:right w:val="none" w:sz="0" w:space="0" w:color="auto"/>
      </w:divBdr>
    </w:div>
    <w:div w:id="644704310">
      <w:bodyDiv w:val="1"/>
      <w:marLeft w:val="0"/>
      <w:marRight w:val="0"/>
      <w:marTop w:val="0"/>
      <w:marBottom w:val="0"/>
      <w:divBdr>
        <w:top w:val="none" w:sz="0" w:space="0" w:color="auto"/>
        <w:left w:val="none" w:sz="0" w:space="0" w:color="auto"/>
        <w:bottom w:val="none" w:sz="0" w:space="0" w:color="auto"/>
        <w:right w:val="none" w:sz="0" w:space="0" w:color="auto"/>
      </w:divBdr>
    </w:div>
    <w:div w:id="962274939">
      <w:bodyDiv w:val="1"/>
      <w:marLeft w:val="0"/>
      <w:marRight w:val="0"/>
      <w:marTop w:val="0"/>
      <w:marBottom w:val="0"/>
      <w:divBdr>
        <w:top w:val="none" w:sz="0" w:space="0" w:color="auto"/>
        <w:left w:val="none" w:sz="0" w:space="0" w:color="auto"/>
        <w:bottom w:val="none" w:sz="0" w:space="0" w:color="auto"/>
        <w:right w:val="none" w:sz="0" w:space="0" w:color="auto"/>
      </w:divBdr>
    </w:div>
    <w:div w:id="1085882523">
      <w:bodyDiv w:val="1"/>
      <w:marLeft w:val="0"/>
      <w:marRight w:val="0"/>
      <w:marTop w:val="0"/>
      <w:marBottom w:val="0"/>
      <w:divBdr>
        <w:top w:val="none" w:sz="0" w:space="0" w:color="auto"/>
        <w:left w:val="none" w:sz="0" w:space="0" w:color="auto"/>
        <w:bottom w:val="none" w:sz="0" w:space="0" w:color="auto"/>
        <w:right w:val="none" w:sz="0" w:space="0" w:color="auto"/>
      </w:divBdr>
    </w:div>
    <w:div w:id="1161579664">
      <w:bodyDiv w:val="1"/>
      <w:marLeft w:val="0"/>
      <w:marRight w:val="0"/>
      <w:marTop w:val="0"/>
      <w:marBottom w:val="0"/>
      <w:divBdr>
        <w:top w:val="none" w:sz="0" w:space="0" w:color="auto"/>
        <w:left w:val="none" w:sz="0" w:space="0" w:color="auto"/>
        <w:bottom w:val="none" w:sz="0" w:space="0" w:color="auto"/>
        <w:right w:val="none" w:sz="0" w:space="0" w:color="auto"/>
      </w:divBdr>
      <w:divsChild>
        <w:div w:id="2004354037">
          <w:marLeft w:val="0"/>
          <w:marRight w:val="0"/>
          <w:marTop w:val="0"/>
          <w:marBottom w:val="0"/>
          <w:divBdr>
            <w:top w:val="none" w:sz="0" w:space="0" w:color="auto"/>
            <w:left w:val="none" w:sz="0" w:space="0" w:color="auto"/>
            <w:bottom w:val="none" w:sz="0" w:space="0" w:color="auto"/>
            <w:right w:val="none" w:sz="0" w:space="0" w:color="auto"/>
          </w:divBdr>
          <w:divsChild>
            <w:div w:id="343748624">
              <w:marLeft w:val="0"/>
              <w:marRight w:val="0"/>
              <w:marTop w:val="0"/>
              <w:marBottom w:val="0"/>
              <w:divBdr>
                <w:top w:val="none" w:sz="0" w:space="0" w:color="auto"/>
                <w:left w:val="none" w:sz="0" w:space="0" w:color="auto"/>
                <w:bottom w:val="none" w:sz="0" w:space="0" w:color="auto"/>
                <w:right w:val="none" w:sz="0" w:space="0" w:color="auto"/>
              </w:divBdr>
              <w:divsChild>
                <w:div w:id="1106271616">
                  <w:marLeft w:val="0"/>
                  <w:marRight w:val="0"/>
                  <w:marTop w:val="0"/>
                  <w:marBottom w:val="0"/>
                  <w:divBdr>
                    <w:top w:val="none" w:sz="0" w:space="0" w:color="auto"/>
                    <w:left w:val="single" w:sz="6" w:space="0" w:color="999999"/>
                    <w:bottom w:val="none" w:sz="0" w:space="0" w:color="auto"/>
                    <w:right w:val="single" w:sz="6" w:space="0" w:color="999999"/>
                  </w:divBdr>
                  <w:divsChild>
                    <w:div w:id="485587585">
                      <w:marLeft w:val="0"/>
                      <w:marRight w:val="0"/>
                      <w:marTop w:val="0"/>
                      <w:marBottom w:val="0"/>
                      <w:divBdr>
                        <w:top w:val="none" w:sz="0" w:space="0" w:color="auto"/>
                        <w:left w:val="none" w:sz="0" w:space="0" w:color="auto"/>
                        <w:bottom w:val="none" w:sz="0" w:space="0" w:color="auto"/>
                        <w:right w:val="none" w:sz="0" w:space="0" w:color="auto"/>
                      </w:divBdr>
                      <w:divsChild>
                        <w:div w:id="233974084">
                          <w:marLeft w:val="0"/>
                          <w:marRight w:val="0"/>
                          <w:marTop w:val="0"/>
                          <w:marBottom w:val="0"/>
                          <w:divBdr>
                            <w:top w:val="none" w:sz="0" w:space="0" w:color="auto"/>
                            <w:left w:val="none" w:sz="0" w:space="0" w:color="auto"/>
                            <w:bottom w:val="none" w:sz="0" w:space="0" w:color="auto"/>
                            <w:right w:val="none" w:sz="0" w:space="0" w:color="auto"/>
                          </w:divBdr>
                          <w:divsChild>
                            <w:div w:id="1135639631">
                              <w:marLeft w:val="0"/>
                              <w:marRight w:val="28"/>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100646">
      <w:bodyDiv w:val="1"/>
      <w:marLeft w:val="0"/>
      <w:marRight w:val="0"/>
      <w:marTop w:val="0"/>
      <w:marBottom w:val="0"/>
      <w:divBdr>
        <w:top w:val="none" w:sz="0" w:space="0" w:color="auto"/>
        <w:left w:val="none" w:sz="0" w:space="0" w:color="auto"/>
        <w:bottom w:val="none" w:sz="0" w:space="0" w:color="auto"/>
        <w:right w:val="none" w:sz="0" w:space="0" w:color="auto"/>
      </w:divBdr>
      <w:divsChild>
        <w:div w:id="8138864">
          <w:marLeft w:val="0"/>
          <w:marRight w:val="0"/>
          <w:marTop w:val="0"/>
          <w:marBottom w:val="0"/>
          <w:divBdr>
            <w:top w:val="none" w:sz="0" w:space="0" w:color="auto"/>
            <w:left w:val="none" w:sz="0" w:space="0" w:color="auto"/>
            <w:bottom w:val="none" w:sz="0" w:space="0" w:color="auto"/>
            <w:right w:val="none" w:sz="0" w:space="0" w:color="auto"/>
          </w:divBdr>
          <w:divsChild>
            <w:div w:id="1569923127">
              <w:marLeft w:val="0"/>
              <w:marRight w:val="0"/>
              <w:marTop w:val="0"/>
              <w:marBottom w:val="0"/>
              <w:divBdr>
                <w:top w:val="none" w:sz="0" w:space="0" w:color="auto"/>
                <w:left w:val="none" w:sz="0" w:space="0" w:color="auto"/>
                <w:bottom w:val="none" w:sz="0" w:space="0" w:color="auto"/>
                <w:right w:val="none" w:sz="0" w:space="0" w:color="auto"/>
              </w:divBdr>
              <w:divsChild>
                <w:div w:id="100994004">
                  <w:marLeft w:val="0"/>
                  <w:marRight w:val="0"/>
                  <w:marTop w:val="0"/>
                  <w:marBottom w:val="0"/>
                  <w:divBdr>
                    <w:top w:val="none" w:sz="0" w:space="0" w:color="auto"/>
                    <w:left w:val="none" w:sz="0" w:space="0" w:color="auto"/>
                    <w:bottom w:val="none" w:sz="0" w:space="0" w:color="auto"/>
                    <w:right w:val="none" w:sz="0" w:space="0" w:color="auto"/>
                  </w:divBdr>
                  <w:divsChild>
                    <w:div w:id="15593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173820">
      <w:bodyDiv w:val="1"/>
      <w:marLeft w:val="0"/>
      <w:marRight w:val="0"/>
      <w:marTop w:val="0"/>
      <w:marBottom w:val="0"/>
      <w:divBdr>
        <w:top w:val="none" w:sz="0" w:space="0" w:color="auto"/>
        <w:left w:val="none" w:sz="0" w:space="0" w:color="auto"/>
        <w:bottom w:val="none" w:sz="0" w:space="0" w:color="auto"/>
        <w:right w:val="none" w:sz="0" w:space="0" w:color="auto"/>
      </w:divBdr>
    </w:div>
    <w:div w:id="1350915344">
      <w:bodyDiv w:val="1"/>
      <w:marLeft w:val="0"/>
      <w:marRight w:val="0"/>
      <w:marTop w:val="0"/>
      <w:marBottom w:val="0"/>
      <w:divBdr>
        <w:top w:val="none" w:sz="0" w:space="0" w:color="auto"/>
        <w:left w:val="none" w:sz="0" w:space="0" w:color="auto"/>
        <w:bottom w:val="none" w:sz="0" w:space="0" w:color="auto"/>
        <w:right w:val="none" w:sz="0" w:space="0" w:color="auto"/>
      </w:divBdr>
    </w:div>
    <w:div w:id="1410693194">
      <w:bodyDiv w:val="1"/>
      <w:marLeft w:val="0"/>
      <w:marRight w:val="0"/>
      <w:marTop w:val="0"/>
      <w:marBottom w:val="0"/>
      <w:divBdr>
        <w:top w:val="none" w:sz="0" w:space="0" w:color="auto"/>
        <w:left w:val="none" w:sz="0" w:space="0" w:color="auto"/>
        <w:bottom w:val="none" w:sz="0" w:space="0" w:color="auto"/>
        <w:right w:val="none" w:sz="0" w:space="0" w:color="auto"/>
      </w:divBdr>
    </w:div>
    <w:div w:id="1557086188">
      <w:bodyDiv w:val="1"/>
      <w:marLeft w:val="0"/>
      <w:marRight w:val="0"/>
      <w:marTop w:val="0"/>
      <w:marBottom w:val="0"/>
      <w:divBdr>
        <w:top w:val="none" w:sz="0" w:space="0" w:color="auto"/>
        <w:left w:val="none" w:sz="0" w:space="0" w:color="auto"/>
        <w:bottom w:val="none" w:sz="0" w:space="0" w:color="auto"/>
        <w:right w:val="none" w:sz="0" w:space="0" w:color="auto"/>
      </w:divBdr>
    </w:div>
    <w:div w:id="1560751202">
      <w:bodyDiv w:val="1"/>
      <w:marLeft w:val="0"/>
      <w:marRight w:val="0"/>
      <w:marTop w:val="0"/>
      <w:marBottom w:val="0"/>
      <w:divBdr>
        <w:top w:val="none" w:sz="0" w:space="0" w:color="auto"/>
        <w:left w:val="none" w:sz="0" w:space="0" w:color="auto"/>
        <w:bottom w:val="none" w:sz="0" w:space="0" w:color="auto"/>
        <w:right w:val="none" w:sz="0" w:space="0" w:color="auto"/>
      </w:divBdr>
    </w:div>
    <w:div w:id="1704557123">
      <w:bodyDiv w:val="1"/>
      <w:marLeft w:val="0"/>
      <w:marRight w:val="0"/>
      <w:marTop w:val="0"/>
      <w:marBottom w:val="0"/>
      <w:divBdr>
        <w:top w:val="none" w:sz="0" w:space="0" w:color="auto"/>
        <w:left w:val="none" w:sz="0" w:space="0" w:color="auto"/>
        <w:bottom w:val="none" w:sz="0" w:space="0" w:color="auto"/>
        <w:right w:val="none" w:sz="0" w:space="0" w:color="auto"/>
      </w:divBdr>
    </w:div>
    <w:div w:id="1714621754">
      <w:bodyDiv w:val="1"/>
      <w:marLeft w:val="0"/>
      <w:marRight w:val="0"/>
      <w:marTop w:val="0"/>
      <w:marBottom w:val="0"/>
      <w:divBdr>
        <w:top w:val="none" w:sz="0" w:space="0" w:color="auto"/>
        <w:left w:val="none" w:sz="0" w:space="0" w:color="auto"/>
        <w:bottom w:val="none" w:sz="0" w:space="0" w:color="auto"/>
        <w:right w:val="none" w:sz="0" w:space="0" w:color="auto"/>
      </w:divBdr>
    </w:div>
    <w:div w:id="1803645658">
      <w:bodyDiv w:val="1"/>
      <w:marLeft w:val="0"/>
      <w:marRight w:val="0"/>
      <w:marTop w:val="0"/>
      <w:marBottom w:val="0"/>
      <w:divBdr>
        <w:top w:val="none" w:sz="0" w:space="0" w:color="auto"/>
        <w:left w:val="none" w:sz="0" w:space="0" w:color="auto"/>
        <w:bottom w:val="none" w:sz="0" w:space="0" w:color="auto"/>
        <w:right w:val="none" w:sz="0" w:space="0" w:color="auto"/>
      </w:divBdr>
    </w:div>
    <w:div w:id="1805080226">
      <w:bodyDiv w:val="1"/>
      <w:marLeft w:val="0"/>
      <w:marRight w:val="0"/>
      <w:marTop w:val="0"/>
      <w:marBottom w:val="0"/>
      <w:divBdr>
        <w:top w:val="none" w:sz="0" w:space="0" w:color="auto"/>
        <w:left w:val="none" w:sz="0" w:space="0" w:color="auto"/>
        <w:bottom w:val="none" w:sz="0" w:space="0" w:color="auto"/>
        <w:right w:val="none" w:sz="0" w:space="0" w:color="auto"/>
      </w:divBdr>
    </w:div>
    <w:div w:id="1892420053">
      <w:bodyDiv w:val="1"/>
      <w:marLeft w:val="0"/>
      <w:marRight w:val="0"/>
      <w:marTop w:val="0"/>
      <w:marBottom w:val="0"/>
      <w:divBdr>
        <w:top w:val="none" w:sz="0" w:space="0" w:color="auto"/>
        <w:left w:val="none" w:sz="0" w:space="0" w:color="auto"/>
        <w:bottom w:val="none" w:sz="0" w:space="0" w:color="auto"/>
        <w:right w:val="none" w:sz="0" w:space="0" w:color="auto"/>
      </w:divBdr>
    </w:div>
    <w:div w:id="1910573338">
      <w:bodyDiv w:val="1"/>
      <w:marLeft w:val="0"/>
      <w:marRight w:val="0"/>
      <w:marTop w:val="0"/>
      <w:marBottom w:val="0"/>
      <w:divBdr>
        <w:top w:val="none" w:sz="0" w:space="0" w:color="auto"/>
        <w:left w:val="none" w:sz="0" w:space="0" w:color="auto"/>
        <w:bottom w:val="none" w:sz="0" w:space="0" w:color="auto"/>
        <w:right w:val="none" w:sz="0" w:space="0" w:color="auto"/>
      </w:divBdr>
    </w:div>
    <w:div w:id="1932622039">
      <w:bodyDiv w:val="1"/>
      <w:marLeft w:val="0"/>
      <w:marRight w:val="0"/>
      <w:marTop w:val="0"/>
      <w:marBottom w:val="0"/>
      <w:divBdr>
        <w:top w:val="none" w:sz="0" w:space="0" w:color="auto"/>
        <w:left w:val="none" w:sz="0" w:space="0" w:color="auto"/>
        <w:bottom w:val="none" w:sz="0" w:space="0" w:color="auto"/>
        <w:right w:val="none" w:sz="0" w:space="0" w:color="auto"/>
      </w:divBdr>
    </w:div>
    <w:div w:id="198693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www.bom.gov.au/climate/ahead" TargetMode="External"/><Relationship Id="rId50" Type="http://schemas.openxmlformats.org/officeDocument/2006/relationships/hyperlink" Target="http://www.eoc.csiro.au/awap/" TargetMode="External"/><Relationship Id="rId55" Type="http://schemas.openxmlformats.org/officeDocument/2006/relationships/hyperlink" Target="http://www.sunwater.com.au" TargetMode="External"/><Relationship Id="rId63" Type="http://schemas.openxmlformats.org/officeDocument/2006/relationships/hyperlink" Target="http://www.mla.com.au/Prices-and-marke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yperlink" Target="http://www.snowyhydro.com.au/lakeLevels.asp?pageID=47&amp;parentID=61&amp;grandParentID=4" TargetMode="External"/><Relationship Id="rId62" Type="http://schemas.openxmlformats.org/officeDocument/2006/relationships/hyperlink" Target="http://theland.farmonline.com.au/market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www.bom.gov.au/jsp/awap/" TargetMode="External"/><Relationship Id="rId53" Type="http://schemas.openxmlformats.org/officeDocument/2006/relationships/hyperlink" Target="http://www.wix.nsw.gov.au/wma/DeterminationSearch.jsp?selectedRegister=Determination" TargetMode="External"/><Relationship Id="rId58" Type="http://schemas.openxmlformats.org/officeDocument/2006/relationships/hyperlink" Target="http://www.waterforgood.sa.gov.a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bom.gov.au/climate/enso/" TargetMode="External"/><Relationship Id="rId57" Type="http://schemas.openxmlformats.org/officeDocument/2006/relationships/hyperlink" Target="http://www.sawater.com.au/SAWater/Environment/TheRiverMurray/River+Murray+Levels.htm" TargetMode="External"/><Relationship Id="rId61" Type="http://schemas.openxmlformats.org/officeDocument/2006/relationships/hyperlink" Target="http://www.datafresh.com.au" TargetMode="External"/><Relationship Id="rId10" Type="http://schemas.openxmlformats.org/officeDocument/2006/relationships/hyperlink" Target="http://www.bom.gov.au/climate/current/weeklyrain.shtml" TargetMode="External"/><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hyperlink" Target="http://www.bom.gov.au/jsp/awap/" TargetMode="External"/><Relationship Id="rId52" Type="http://schemas.openxmlformats.org/officeDocument/2006/relationships/hyperlink" Target="http://www.water.nsw.gov.au/Home/default.aspx" TargetMode="External"/><Relationship Id="rId60" Type="http://schemas.openxmlformats.org/officeDocument/2006/relationships/hyperlink" Target="http://www.waterexchange.com.au"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aff.gov.au/abares"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www.bom.gov.au/jsp/awap/rain/index.jsp" TargetMode="External"/><Relationship Id="rId48" Type="http://schemas.openxmlformats.org/officeDocument/2006/relationships/hyperlink" Target="http://www.bom.gov.au/climate/drought/drought.shtml" TargetMode="External"/><Relationship Id="rId56" Type="http://schemas.openxmlformats.org/officeDocument/2006/relationships/hyperlink" Target="http://seqwater.com.au" TargetMode="External"/><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waterinfo.nsw.gov.au/" TargetMode="External"/><Relationship Id="rId3" Type="http://schemas.openxmlformats.org/officeDocument/2006/relationships/styles" Target="styles.xml"/><Relationship Id="rId12" Type="http://schemas.openxmlformats.org/officeDocument/2006/relationships/hyperlink" Target="http://www.bom.gov.au/jsp/awap/" TargetMode="External"/><Relationship Id="rId17" Type="http://schemas.openxmlformats.org/officeDocument/2006/relationships/image" Target="media/image8.png"/><Relationship Id="rId25" Type="http://schemas.openxmlformats.org/officeDocument/2006/relationships/footer" Target="footer1.xm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www.bom.gov.au/jsp/watl/rainfall/pme.jsp" TargetMode="External"/><Relationship Id="rId59" Type="http://schemas.openxmlformats.org/officeDocument/2006/relationships/hyperlink" Target="http://www.g-mwater.com.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BED32-0E1D-4A70-AC83-864447529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2052</Words>
  <Characters>12198</Characters>
  <Application>Microsoft Office Word</Application>
  <DocSecurity>0</DocSecurity>
  <Lines>338</Lines>
  <Paragraphs>237</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14013</CharactersWithSpaces>
  <SharedDoc>false</SharedDoc>
  <HLinks>
    <vt:vector size="150" baseType="variant">
      <vt:variant>
        <vt:i4>589898</vt:i4>
      </vt:variant>
      <vt:variant>
        <vt:i4>69</vt:i4>
      </vt:variant>
      <vt:variant>
        <vt:i4>0</vt:i4>
      </vt:variant>
      <vt:variant>
        <vt:i4>5</vt:i4>
      </vt:variant>
      <vt:variant>
        <vt:lpwstr>http://www.mla.com.au/Prices-and-markets</vt:lpwstr>
      </vt:variant>
      <vt:variant>
        <vt:lpwstr/>
      </vt:variant>
      <vt:variant>
        <vt:i4>4456512</vt:i4>
      </vt:variant>
      <vt:variant>
        <vt:i4>66</vt:i4>
      </vt:variant>
      <vt:variant>
        <vt:i4>0</vt:i4>
      </vt:variant>
      <vt:variant>
        <vt:i4>5</vt:i4>
      </vt:variant>
      <vt:variant>
        <vt:lpwstr>http://theland.farmonline.com.au/markets.aspx</vt:lpwstr>
      </vt:variant>
      <vt:variant>
        <vt:lpwstr/>
      </vt:variant>
      <vt:variant>
        <vt:i4>1048651</vt:i4>
      </vt:variant>
      <vt:variant>
        <vt:i4>63</vt:i4>
      </vt:variant>
      <vt:variant>
        <vt:i4>0</vt:i4>
      </vt:variant>
      <vt:variant>
        <vt:i4>5</vt:i4>
      </vt:variant>
      <vt:variant>
        <vt:lpwstr>http://www.datafresh.com.au/</vt:lpwstr>
      </vt:variant>
      <vt:variant>
        <vt:lpwstr/>
      </vt:variant>
      <vt:variant>
        <vt:i4>65614</vt:i4>
      </vt:variant>
      <vt:variant>
        <vt:i4>60</vt:i4>
      </vt:variant>
      <vt:variant>
        <vt:i4>0</vt:i4>
      </vt:variant>
      <vt:variant>
        <vt:i4>5</vt:i4>
      </vt:variant>
      <vt:variant>
        <vt:lpwstr>http://www.waterexchange.com.au/</vt:lpwstr>
      </vt:variant>
      <vt:variant>
        <vt:lpwstr/>
      </vt:variant>
      <vt:variant>
        <vt:i4>4128867</vt:i4>
      </vt:variant>
      <vt:variant>
        <vt:i4>57</vt:i4>
      </vt:variant>
      <vt:variant>
        <vt:i4>0</vt:i4>
      </vt:variant>
      <vt:variant>
        <vt:i4>5</vt:i4>
      </vt:variant>
      <vt:variant>
        <vt:lpwstr>http://www.g-mwater.com.au/</vt:lpwstr>
      </vt:variant>
      <vt:variant>
        <vt:lpwstr/>
      </vt:variant>
      <vt:variant>
        <vt:i4>2949154</vt:i4>
      </vt:variant>
      <vt:variant>
        <vt:i4>54</vt:i4>
      </vt:variant>
      <vt:variant>
        <vt:i4>0</vt:i4>
      </vt:variant>
      <vt:variant>
        <vt:i4>5</vt:i4>
      </vt:variant>
      <vt:variant>
        <vt:lpwstr>http://www.waterforgood.sa.gov.au/</vt:lpwstr>
      </vt:variant>
      <vt:variant>
        <vt:lpwstr/>
      </vt:variant>
      <vt:variant>
        <vt:i4>5373962</vt:i4>
      </vt:variant>
      <vt:variant>
        <vt:i4>51</vt:i4>
      </vt:variant>
      <vt:variant>
        <vt:i4>0</vt:i4>
      </vt:variant>
      <vt:variant>
        <vt:i4>5</vt:i4>
      </vt:variant>
      <vt:variant>
        <vt:lpwstr>http://www.sawater.com.au/SAWater/Environment/TheRiverMurray/River+Murray+Levels.htm</vt:lpwstr>
      </vt:variant>
      <vt:variant>
        <vt:lpwstr/>
      </vt:variant>
      <vt:variant>
        <vt:i4>3604594</vt:i4>
      </vt:variant>
      <vt:variant>
        <vt:i4>48</vt:i4>
      </vt:variant>
      <vt:variant>
        <vt:i4>0</vt:i4>
      </vt:variant>
      <vt:variant>
        <vt:i4>5</vt:i4>
      </vt:variant>
      <vt:variant>
        <vt:lpwstr>http://seqwater.com.au/</vt:lpwstr>
      </vt:variant>
      <vt:variant>
        <vt:lpwstr/>
      </vt:variant>
      <vt:variant>
        <vt:i4>2621499</vt:i4>
      </vt:variant>
      <vt:variant>
        <vt:i4>45</vt:i4>
      </vt:variant>
      <vt:variant>
        <vt:i4>0</vt:i4>
      </vt:variant>
      <vt:variant>
        <vt:i4>5</vt:i4>
      </vt:variant>
      <vt:variant>
        <vt:lpwstr>http://www.sunwater.com.au/</vt:lpwstr>
      </vt:variant>
      <vt:variant>
        <vt:lpwstr/>
      </vt:variant>
      <vt:variant>
        <vt:i4>1966087</vt:i4>
      </vt:variant>
      <vt:variant>
        <vt:i4>42</vt:i4>
      </vt:variant>
      <vt:variant>
        <vt:i4>0</vt:i4>
      </vt:variant>
      <vt:variant>
        <vt:i4>5</vt:i4>
      </vt:variant>
      <vt:variant>
        <vt:lpwstr>http://www.snowyhydro.com.au/lakeLevels.asp?pageID=47&amp;parentID=61&amp;grandParentID=4</vt:lpwstr>
      </vt:variant>
      <vt:variant>
        <vt:lpwstr/>
      </vt:variant>
      <vt:variant>
        <vt:i4>6029407</vt:i4>
      </vt:variant>
      <vt:variant>
        <vt:i4>39</vt:i4>
      </vt:variant>
      <vt:variant>
        <vt:i4>0</vt:i4>
      </vt:variant>
      <vt:variant>
        <vt:i4>5</vt:i4>
      </vt:variant>
      <vt:variant>
        <vt:lpwstr>http://www.wix.nsw.gov.au/wma/DeterminationSearch.jsp?selectedRegister=Determination</vt:lpwstr>
      </vt:variant>
      <vt:variant>
        <vt:lpwstr/>
      </vt:variant>
      <vt:variant>
        <vt:i4>262156</vt:i4>
      </vt:variant>
      <vt:variant>
        <vt:i4>36</vt:i4>
      </vt:variant>
      <vt:variant>
        <vt:i4>0</vt:i4>
      </vt:variant>
      <vt:variant>
        <vt:i4>5</vt:i4>
      </vt:variant>
      <vt:variant>
        <vt:lpwstr>http://www.water.nsw.gov.au/Home/default.aspx</vt:lpwstr>
      </vt:variant>
      <vt:variant>
        <vt:lpwstr/>
      </vt:variant>
      <vt:variant>
        <vt:i4>1900613</vt:i4>
      </vt:variant>
      <vt:variant>
        <vt:i4>33</vt:i4>
      </vt:variant>
      <vt:variant>
        <vt:i4>0</vt:i4>
      </vt:variant>
      <vt:variant>
        <vt:i4>5</vt:i4>
      </vt:variant>
      <vt:variant>
        <vt:lpwstr>http://waterinfo.nsw.gov.au/</vt:lpwstr>
      </vt:variant>
      <vt:variant>
        <vt:lpwstr/>
      </vt:variant>
      <vt:variant>
        <vt:i4>65611</vt:i4>
      </vt:variant>
      <vt:variant>
        <vt:i4>30</vt:i4>
      </vt:variant>
      <vt:variant>
        <vt:i4>0</vt:i4>
      </vt:variant>
      <vt:variant>
        <vt:i4>5</vt:i4>
      </vt:variant>
      <vt:variant>
        <vt:lpwstr>http://www.eoc.csiro.au/awap/</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2424876</vt:i4>
      </vt:variant>
      <vt:variant>
        <vt:i4>24</vt:i4>
      </vt:variant>
      <vt:variant>
        <vt:i4>0</vt:i4>
      </vt:variant>
      <vt:variant>
        <vt:i4>5</vt:i4>
      </vt:variant>
      <vt:variant>
        <vt:lpwstr>http://www.bom.gov.au/climate/drought/drought.shtml</vt:lpwstr>
      </vt:variant>
      <vt:variant>
        <vt:lpwstr/>
      </vt:variant>
      <vt:variant>
        <vt:i4>2621487</vt:i4>
      </vt:variant>
      <vt:variant>
        <vt:i4>21</vt:i4>
      </vt:variant>
      <vt:variant>
        <vt:i4>0</vt:i4>
      </vt:variant>
      <vt:variant>
        <vt:i4>5</vt:i4>
      </vt:variant>
      <vt:variant>
        <vt:lpwstr>http://www.bom.gov.au/climate/ahead</vt:lpwstr>
      </vt:variant>
      <vt:variant>
        <vt:lpwstr/>
      </vt:variant>
      <vt:variant>
        <vt:i4>2359406</vt:i4>
      </vt:variant>
      <vt:variant>
        <vt:i4>18</vt:i4>
      </vt:variant>
      <vt:variant>
        <vt:i4>0</vt:i4>
      </vt:variant>
      <vt:variant>
        <vt:i4>5</vt:i4>
      </vt:variant>
      <vt:variant>
        <vt:lpwstr>http://www.bom.gov.au/jsp/watl/rainfall/pme.jsp</vt:lpwstr>
      </vt:variant>
      <vt:variant>
        <vt:lpwstr/>
      </vt:variant>
      <vt:variant>
        <vt:i4>2097215</vt:i4>
      </vt:variant>
      <vt:variant>
        <vt:i4>15</vt:i4>
      </vt:variant>
      <vt:variant>
        <vt:i4>0</vt:i4>
      </vt:variant>
      <vt:variant>
        <vt:i4>5</vt:i4>
      </vt:variant>
      <vt:variant>
        <vt:lpwstr>http://www.bom.gov.au/jsp/awap/</vt:lpwstr>
      </vt:variant>
      <vt:variant>
        <vt:lpwstr/>
      </vt:variant>
      <vt:variant>
        <vt:i4>2097215</vt:i4>
      </vt:variant>
      <vt:variant>
        <vt:i4>12</vt:i4>
      </vt:variant>
      <vt:variant>
        <vt:i4>0</vt:i4>
      </vt:variant>
      <vt:variant>
        <vt:i4>5</vt:i4>
      </vt:variant>
      <vt:variant>
        <vt:lpwstr>http://www.bom.gov.au/jsp/awap/</vt:lpwstr>
      </vt:variant>
      <vt:variant>
        <vt:lpwstr/>
      </vt:variant>
      <vt:variant>
        <vt:i4>4325376</vt:i4>
      </vt:variant>
      <vt:variant>
        <vt:i4>9</vt:i4>
      </vt:variant>
      <vt:variant>
        <vt:i4>0</vt:i4>
      </vt:variant>
      <vt:variant>
        <vt:i4>5</vt:i4>
      </vt:variant>
      <vt:variant>
        <vt:lpwstr>http://www.bom.gov.au/jsp/awap/rain/index.jsp</vt:lpwstr>
      </vt:variant>
      <vt:variant>
        <vt:lpwstr/>
      </vt:variant>
      <vt:variant>
        <vt:i4>2097215</vt:i4>
      </vt:variant>
      <vt:variant>
        <vt:i4>6</vt:i4>
      </vt:variant>
      <vt:variant>
        <vt:i4>0</vt:i4>
      </vt:variant>
      <vt:variant>
        <vt:i4>5</vt:i4>
      </vt:variant>
      <vt:variant>
        <vt:lpwstr>http://www.bom.gov.au/jsp/awap/</vt:lpwstr>
      </vt:variant>
      <vt:variant>
        <vt:lpwstr/>
      </vt:variant>
      <vt:variant>
        <vt:i4>7602277</vt:i4>
      </vt:variant>
      <vt:variant>
        <vt:i4>3</vt:i4>
      </vt:variant>
      <vt:variant>
        <vt:i4>0</vt:i4>
      </vt:variant>
      <vt:variant>
        <vt:i4>5</vt:i4>
      </vt:variant>
      <vt:variant>
        <vt:lpwstr>http://www.bom.gov.au/climate/current/weeklyrain.shtml</vt:lpwstr>
      </vt:variant>
      <vt:variant>
        <vt:lpwstr/>
      </vt:variant>
      <vt:variant>
        <vt:i4>5636120</vt:i4>
      </vt:variant>
      <vt:variant>
        <vt:i4>0</vt:i4>
      </vt:variant>
      <vt:variant>
        <vt:i4>0</vt:i4>
      </vt:variant>
      <vt:variant>
        <vt:i4>5</vt:i4>
      </vt:variant>
      <vt:variant>
        <vt:lpwstr>http://www.daff.gov.au/abares</vt:lpwstr>
      </vt:variant>
      <vt:variant>
        <vt:lpwstr/>
      </vt:variant>
      <vt:variant>
        <vt:i4>109</vt:i4>
      </vt:variant>
      <vt:variant>
        <vt:i4>0</vt:i4>
      </vt:variant>
      <vt:variant>
        <vt:i4>0</vt:i4>
      </vt:variant>
      <vt:variant>
        <vt:i4>5</vt:i4>
      </vt:variant>
      <vt:variant>
        <vt:lpwstr>mailto:ClimateUpdate@daff.gov.au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georgeson lee</dc:creator>
  <cp:lastModifiedBy>Guy Barrett</cp:lastModifiedBy>
  <cp:revision>5</cp:revision>
  <cp:lastPrinted>2012-06-07T02:09:00Z</cp:lastPrinted>
  <dcterms:created xsi:type="dcterms:W3CDTF">2012-06-07T03:09:00Z</dcterms:created>
  <dcterms:modified xsi:type="dcterms:W3CDTF">2012-06-07T04:29:00Z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-722240764</vt:i4>
  </property>
</Properties>
</file>