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266" w:rsidRPr="003413BE" w:rsidRDefault="003413BE">
      <w:pPr>
        <w:pStyle w:val="Heading1"/>
      </w:pPr>
      <w:r>
        <w:t>Future scenarios for the southern Murray-Darling Basin</w:t>
      </w:r>
    </w:p>
    <w:p w:rsidR="001A0266" w:rsidRPr="009C704B" w:rsidRDefault="009C704B">
      <w:pPr>
        <w:pStyle w:val="Subtitle"/>
        <w:rPr>
          <w:sz w:val="44"/>
          <w:szCs w:val="44"/>
        </w:rPr>
      </w:pPr>
      <w:r w:rsidRPr="009C704B">
        <w:rPr>
          <w:sz w:val="44"/>
          <w:szCs w:val="44"/>
        </w:rPr>
        <w:t>Report to the Independent Assessment of Social and Economic Conditions in the Basin</w:t>
      </w:r>
    </w:p>
    <w:p w:rsidR="009C704B" w:rsidRPr="009C704B" w:rsidRDefault="009C704B" w:rsidP="009C704B"/>
    <w:p w:rsidR="001A0266" w:rsidRPr="003413BE" w:rsidRDefault="003413BE">
      <w:pPr>
        <w:pStyle w:val="Author"/>
        <w:rPr>
          <w:lang w:val="es-ES"/>
        </w:rPr>
      </w:pPr>
      <w:r>
        <w:rPr>
          <w:lang w:val="es-ES"/>
        </w:rPr>
        <w:t>Mihir Gupta, Neal Hughes, Linden Whittle and Tim Westwood</w:t>
      </w:r>
    </w:p>
    <w:p w:rsidR="001A0266" w:rsidRPr="003413BE" w:rsidRDefault="00533D56">
      <w:pPr>
        <w:pStyle w:val="Organisation"/>
        <w:tabs>
          <w:tab w:val="left" w:pos="7995"/>
        </w:tabs>
      </w:pPr>
      <w:r w:rsidRPr="003413BE">
        <w:t xml:space="preserve">Research by the Australian Bureau of Agricultural and </w:t>
      </w:r>
      <w:r w:rsidR="007E3B16">
        <w:t>Resource Economics and Sciences</w:t>
      </w:r>
    </w:p>
    <w:p w:rsidR="001A0266" w:rsidRPr="003413BE" w:rsidRDefault="003413BE">
      <w:pPr>
        <w:pStyle w:val="Publicationseries"/>
      </w:pPr>
      <w:r>
        <w:t>Research report</w:t>
      </w:r>
      <w:r w:rsidR="004A4727">
        <w:t xml:space="preserve"> 20.2</w:t>
      </w:r>
    </w:p>
    <w:p w:rsidR="001A0266" w:rsidRDefault="003413BE">
      <w:pPr>
        <w:pStyle w:val="Date"/>
      </w:pPr>
      <w:r>
        <w:t>February 2020</w:t>
      </w:r>
    </w:p>
    <w:p w:rsidR="001A0266" w:rsidRDefault="007E3B16" w:rsidP="003413BE">
      <w:pPr>
        <w:pStyle w:val="Picture"/>
        <w:jc w:val="center"/>
      </w:pPr>
      <w:r>
        <w:drawing>
          <wp:inline distT="0" distB="0" distL="0" distR="0">
            <wp:extent cx="4392000" cy="4392000"/>
            <wp:effectExtent l="0" t="0" r="8890" b="8890"/>
            <wp:docPr id="1" name="Picture 1" descr="C:\Users\gupta mihir\AppData\Local\Microsoft\Windows\INetCache\Content.Word\Water_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pta mihir\AppData\Local\Microsoft\Windows\INetCache\Content.Word\Water_H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2000" cy="4392000"/>
                    </a:xfrm>
                    <a:prstGeom prst="rect">
                      <a:avLst/>
                    </a:prstGeom>
                    <a:noFill/>
                    <a:ln>
                      <a:noFill/>
                    </a:ln>
                  </pic:spPr>
                </pic:pic>
              </a:graphicData>
            </a:graphic>
          </wp:inline>
        </w:drawing>
      </w:r>
    </w:p>
    <w:p w:rsidR="001A0266" w:rsidRDefault="00533D56">
      <w:pPr>
        <w:pStyle w:val="Normalsmall"/>
      </w:pPr>
      <w:r>
        <w:br w:type="page"/>
      </w:r>
      <w:r w:rsidR="00DE5280">
        <w:lastRenderedPageBreak/>
        <w:t>© Commonwealth of Australia 2020</w:t>
      </w:r>
    </w:p>
    <w:p w:rsidR="001A0266" w:rsidRDefault="00533D56">
      <w:pPr>
        <w:pStyle w:val="Normalsmall"/>
        <w:rPr>
          <w:rStyle w:val="Strong"/>
        </w:rPr>
      </w:pPr>
      <w:r>
        <w:rPr>
          <w:rStyle w:val="Strong"/>
        </w:rPr>
        <w:t>Ownership of intellectual property rights</w:t>
      </w:r>
    </w:p>
    <w:p w:rsidR="001A0266" w:rsidRDefault="00533D56">
      <w:pPr>
        <w:pStyle w:val="Normalsmall"/>
      </w:pPr>
      <w:r>
        <w:t>Unless otherwise noted, copyright (and any other intellectual property rights, if any) in this publication is owned by the Commonwealth of Australia (referred to as the Commonwealth).</w:t>
      </w:r>
    </w:p>
    <w:p w:rsidR="001A0266" w:rsidRDefault="00533D56">
      <w:pPr>
        <w:pStyle w:val="Normalsmall"/>
        <w:rPr>
          <w:rStyle w:val="Strong"/>
        </w:rPr>
      </w:pPr>
      <w:proofErr w:type="gramStart"/>
      <w:r>
        <w:rPr>
          <w:rStyle w:val="Strong"/>
        </w:rPr>
        <w:t>Creative Commons</w:t>
      </w:r>
      <w:proofErr w:type="gramEnd"/>
      <w:r>
        <w:rPr>
          <w:rStyle w:val="Strong"/>
        </w:rPr>
        <w:t xml:space="preserve"> licence</w:t>
      </w:r>
    </w:p>
    <w:p w:rsidR="001A0266" w:rsidRDefault="00533D56">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rsidR="001A0266" w:rsidRDefault="00533D56">
      <w:pPr>
        <w:pStyle w:val="Normalsmall"/>
      </w:pPr>
      <w:r>
        <w:t xml:space="preserve">Inquiries about the licence and any use of this document should be emailed to </w:t>
      </w:r>
      <w:hyperlink r:id="rId13" w:history="1">
        <w:r w:rsidR="00D60C58">
          <w:rPr>
            <w:rStyle w:val="Hyperlink"/>
          </w:rPr>
          <w:t>copyright@awe.gov.au</w:t>
        </w:r>
      </w:hyperlink>
      <w:r>
        <w:t>.</w:t>
      </w:r>
    </w:p>
    <w:p w:rsidR="001A0266" w:rsidRDefault="00533D56">
      <w:pPr>
        <w:pStyle w:val="Normalsmall"/>
      </w:pPr>
      <w:r>
        <w:rPr>
          <w:noProof/>
          <w:lang w:eastAsia="en-AU"/>
        </w:rPr>
        <w:drawing>
          <wp:inline distT="0" distB="0" distL="0" distR="0" wp14:anchorId="712B7077" wp14:editId="793E69F9">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1A0266" w:rsidRDefault="00533D56">
      <w:pPr>
        <w:pStyle w:val="Normalsmall"/>
        <w:rPr>
          <w:rStyle w:val="Strong"/>
        </w:rPr>
      </w:pPr>
      <w:r>
        <w:rPr>
          <w:rStyle w:val="Strong"/>
        </w:rPr>
        <w:t>Cataloguing data</w:t>
      </w:r>
    </w:p>
    <w:p w:rsidR="001A0266" w:rsidRPr="003413BE" w:rsidRDefault="00533D56">
      <w:pPr>
        <w:pStyle w:val="Normalsmall"/>
      </w:pPr>
      <w:r w:rsidRPr="003413BE">
        <w:t xml:space="preserve">This publication (and any material sourced from it) should be attributed as: </w:t>
      </w:r>
      <w:r w:rsidR="003413BE">
        <w:t>Gupta</w:t>
      </w:r>
      <w:r w:rsidR="00DE5280" w:rsidRPr="003413BE">
        <w:t xml:space="preserve">, </w:t>
      </w:r>
      <w:r w:rsidR="003413BE">
        <w:t>M</w:t>
      </w:r>
      <w:r w:rsidR="00DE5280" w:rsidRPr="003413BE">
        <w:t xml:space="preserve">, </w:t>
      </w:r>
      <w:r w:rsidR="003413BE">
        <w:t>Hughes</w:t>
      </w:r>
      <w:r w:rsidR="00DE5280" w:rsidRPr="003413BE">
        <w:t xml:space="preserve">, </w:t>
      </w:r>
      <w:r w:rsidR="003413BE">
        <w:t>N, Whittle, L,</w:t>
      </w:r>
      <w:r w:rsidR="00DE5280" w:rsidRPr="003413BE">
        <w:t xml:space="preserve"> &amp; </w:t>
      </w:r>
      <w:r w:rsidR="003413BE">
        <w:t>Westwood</w:t>
      </w:r>
      <w:r w:rsidR="00DE5280" w:rsidRPr="003413BE">
        <w:t xml:space="preserve">, </w:t>
      </w:r>
      <w:r w:rsidR="003413BE">
        <w:t>T</w:t>
      </w:r>
      <w:r w:rsidR="00DE5280" w:rsidRPr="003413BE">
        <w:t xml:space="preserve"> 2020</w:t>
      </w:r>
      <w:r w:rsidRPr="003413BE">
        <w:t xml:space="preserve">, </w:t>
      </w:r>
      <w:r w:rsidR="003413BE">
        <w:rPr>
          <w:i/>
        </w:rPr>
        <w:t>Future scenarios for the southern Murray-Darling Basin</w:t>
      </w:r>
      <w:r w:rsidRPr="003413BE">
        <w:t>,</w:t>
      </w:r>
      <w:r w:rsidR="00D54E8D" w:rsidRPr="00D54E8D">
        <w:t xml:space="preserve"> </w:t>
      </w:r>
      <w:r w:rsidR="00D54E8D" w:rsidRPr="00D54E8D">
        <w:rPr>
          <w:i/>
        </w:rPr>
        <w:t>Report to the Independent Assessment of Social and Economic Conditions in the Basin</w:t>
      </w:r>
      <w:r w:rsidR="00D54E8D">
        <w:t>,</w:t>
      </w:r>
      <w:r w:rsidRPr="003413BE">
        <w:t xml:space="preserve"> ABARES </w:t>
      </w:r>
      <w:r w:rsidR="003413BE">
        <w:t>research report, Canberra, February</w:t>
      </w:r>
      <w:r w:rsidR="00CE5669" w:rsidRPr="003413BE">
        <w:t>,</w:t>
      </w:r>
      <w:r w:rsidR="003D5810" w:rsidRPr="003413BE">
        <w:t xml:space="preserve"> </w:t>
      </w:r>
      <w:r w:rsidRPr="003413BE">
        <w:t>CC BY 4.0.</w:t>
      </w:r>
      <w:r w:rsidR="003D4DF9">
        <w:t xml:space="preserve"> </w:t>
      </w:r>
      <w:hyperlink r:id="rId15" w:history="1">
        <w:r w:rsidR="003D4DF9" w:rsidRPr="003D4DF9">
          <w:rPr>
            <w:rStyle w:val="Hyperlink"/>
          </w:rPr>
          <w:t>https://doi.org/10.25814/5e5c8daaa823a</w:t>
        </w:r>
      </w:hyperlink>
    </w:p>
    <w:p w:rsidR="001A0266" w:rsidRPr="003413BE" w:rsidRDefault="00533D56">
      <w:pPr>
        <w:pStyle w:val="Normalsmall"/>
      </w:pPr>
      <w:r w:rsidRPr="003413BE">
        <w:t xml:space="preserve">ISBN </w:t>
      </w:r>
      <w:r w:rsidR="004A4727" w:rsidRPr="004A4727">
        <w:t>978-1-74323-460-0</w:t>
      </w:r>
    </w:p>
    <w:p w:rsidR="00533D56" w:rsidRPr="003413BE" w:rsidRDefault="00533D56">
      <w:pPr>
        <w:pStyle w:val="Normalsmall"/>
      </w:pPr>
      <w:r w:rsidRPr="003413BE">
        <w:t xml:space="preserve">ISSN </w:t>
      </w:r>
      <w:r w:rsidR="004A4727" w:rsidRPr="004A4727">
        <w:t>1447-8358</w:t>
      </w:r>
    </w:p>
    <w:p w:rsidR="001A0266" w:rsidRPr="003413BE" w:rsidRDefault="00533D56">
      <w:pPr>
        <w:pStyle w:val="Normalsmall"/>
        <w:spacing w:after="0"/>
      </w:pPr>
      <w:r w:rsidRPr="003413BE">
        <w:t>Australian Bureau of Agricultural and Resource Economics and Sciences (ABARES)</w:t>
      </w:r>
    </w:p>
    <w:p w:rsidR="001A0266" w:rsidRPr="003413BE" w:rsidRDefault="00533D56">
      <w:pPr>
        <w:pStyle w:val="Normalsmall"/>
        <w:spacing w:after="0"/>
      </w:pPr>
      <w:r w:rsidRPr="003413BE">
        <w:t>GPO Box 858 Canberra ACT 2601</w:t>
      </w:r>
    </w:p>
    <w:p w:rsidR="001A0266" w:rsidRPr="003413BE" w:rsidRDefault="00533D56">
      <w:pPr>
        <w:pStyle w:val="Normalsmall"/>
        <w:spacing w:after="0"/>
      </w:pPr>
      <w:r w:rsidRPr="003413BE">
        <w:t xml:space="preserve">Telephone </w:t>
      </w:r>
      <w:r w:rsidR="00ED117D" w:rsidRPr="003413BE">
        <w:t>1800 900 090</w:t>
      </w:r>
    </w:p>
    <w:p w:rsidR="001A0266" w:rsidRPr="003413BE" w:rsidRDefault="00533D56">
      <w:pPr>
        <w:pStyle w:val="Normalsmall"/>
      </w:pPr>
      <w:r w:rsidRPr="003413BE">
        <w:t xml:space="preserve">Web </w:t>
      </w:r>
      <w:hyperlink r:id="rId16" w:history="1">
        <w:r w:rsidR="00B31AAC" w:rsidRPr="003413BE">
          <w:rPr>
            <w:rStyle w:val="Hyperlink"/>
          </w:rPr>
          <w:t>awe.gov.au</w:t>
        </w:r>
      </w:hyperlink>
    </w:p>
    <w:p w:rsidR="001A0266" w:rsidRPr="003413BE" w:rsidRDefault="00533D56">
      <w:pPr>
        <w:pStyle w:val="Normalsmall"/>
      </w:pPr>
      <w:r w:rsidRPr="003413BE">
        <w:t>The Australian Government acting through the Department of Agriculture</w:t>
      </w:r>
      <w:r w:rsidR="000F73A6" w:rsidRPr="003413BE">
        <w:t>, Water and the Environment</w:t>
      </w:r>
      <w:r w:rsidRPr="003413BE">
        <w:t xml:space="preserve">, represented by the Australian Bureau of Agricultural and Resource Economics and Sciences, has exercised due care and skill in preparing and compiling the information and data in this publication. Notwithstanding, the </w:t>
      </w:r>
      <w:r w:rsidR="000F73A6" w:rsidRPr="003413BE">
        <w:t>Department of Agriculture, Water and the Environment</w:t>
      </w:r>
      <w:r w:rsidRPr="003413BE">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1A0266" w:rsidRPr="003413BE" w:rsidRDefault="00533D56">
      <w:pPr>
        <w:pStyle w:val="Normalsmall"/>
        <w:rPr>
          <w:rStyle w:val="Strong"/>
        </w:rPr>
      </w:pPr>
      <w:r w:rsidRPr="003413BE">
        <w:rPr>
          <w:rStyle w:val="Strong"/>
        </w:rPr>
        <w:t>Acknowledgements</w:t>
      </w:r>
    </w:p>
    <w:p w:rsidR="001A0266" w:rsidRDefault="007253B5">
      <w:pPr>
        <w:pStyle w:val="Normalsmall"/>
      </w:pPr>
      <w:r w:rsidRPr="007253B5">
        <w:t>The authors would like to thank Thomas Jackson, David Galeano and Steve Hatfield-Dodds from ABARES, for their invaluable advice and feedback</w:t>
      </w:r>
      <w:r w:rsidR="00533D56" w:rsidRPr="003413BE">
        <w:t>.</w:t>
      </w:r>
    </w:p>
    <w:p w:rsidR="001A0266" w:rsidRDefault="00533D56">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rsidR="001A0266" w:rsidRDefault="007253B5">
          <w:pPr>
            <w:pStyle w:val="TOCHeading"/>
          </w:pPr>
          <w:r>
            <w:t>Contents</w:t>
          </w:r>
        </w:p>
        <w:p w:rsidR="00325924" w:rsidRDefault="00533D56">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4735522" w:history="1">
            <w:r w:rsidR="00325924" w:rsidRPr="006A0165">
              <w:rPr>
                <w:rStyle w:val="Hyperlink"/>
              </w:rPr>
              <w:t>Summary</w:t>
            </w:r>
            <w:r w:rsidR="00325924">
              <w:rPr>
                <w:webHidden/>
              </w:rPr>
              <w:tab/>
            </w:r>
            <w:r w:rsidR="00325924">
              <w:rPr>
                <w:webHidden/>
              </w:rPr>
              <w:fldChar w:fldCharType="begin"/>
            </w:r>
            <w:r w:rsidR="00325924">
              <w:rPr>
                <w:webHidden/>
              </w:rPr>
              <w:instrText xml:space="preserve"> PAGEREF _Toc34735522 \h </w:instrText>
            </w:r>
            <w:r w:rsidR="00325924">
              <w:rPr>
                <w:webHidden/>
              </w:rPr>
            </w:r>
            <w:r w:rsidR="00325924">
              <w:rPr>
                <w:webHidden/>
              </w:rPr>
              <w:fldChar w:fldCharType="separate"/>
            </w:r>
            <w:r w:rsidR="004D407F">
              <w:rPr>
                <w:webHidden/>
              </w:rPr>
              <w:t>v</w:t>
            </w:r>
            <w:r w:rsidR="00325924">
              <w:rPr>
                <w:webHidden/>
              </w:rPr>
              <w:fldChar w:fldCharType="end"/>
            </w:r>
          </w:hyperlink>
        </w:p>
        <w:p w:rsidR="00325924" w:rsidRDefault="004D407F">
          <w:pPr>
            <w:pStyle w:val="TOC2"/>
            <w:rPr>
              <w:rFonts w:asciiTheme="minorHAnsi" w:eastAsiaTheme="minorEastAsia" w:hAnsiTheme="minorHAnsi"/>
              <w:lang w:eastAsia="en-AU"/>
            </w:rPr>
          </w:pPr>
          <w:hyperlink w:anchor="_Toc34735523" w:history="1">
            <w:r w:rsidR="00325924" w:rsidRPr="006A0165">
              <w:rPr>
                <w:rStyle w:val="Hyperlink"/>
              </w:rPr>
              <w:t>The scenarios</w:t>
            </w:r>
            <w:r w:rsidR="00325924">
              <w:rPr>
                <w:webHidden/>
              </w:rPr>
              <w:tab/>
            </w:r>
            <w:r w:rsidR="00325924">
              <w:rPr>
                <w:webHidden/>
              </w:rPr>
              <w:fldChar w:fldCharType="begin"/>
            </w:r>
            <w:r w:rsidR="00325924">
              <w:rPr>
                <w:webHidden/>
              </w:rPr>
              <w:instrText xml:space="preserve"> PAGEREF _Toc34735523 \h </w:instrText>
            </w:r>
            <w:r w:rsidR="00325924">
              <w:rPr>
                <w:webHidden/>
              </w:rPr>
            </w:r>
            <w:r w:rsidR="00325924">
              <w:rPr>
                <w:webHidden/>
              </w:rPr>
              <w:fldChar w:fldCharType="separate"/>
            </w:r>
            <w:r>
              <w:rPr>
                <w:webHidden/>
              </w:rPr>
              <w:t>v</w:t>
            </w:r>
            <w:r w:rsidR="00325924">
              <w:rPr>
                <w:webHidden/>
              </w:rPr>
              <w:fldChar w:fldCharType="end"/>
            </w:r>
          </w:hyperlink>
        </w:p>
        <w:p w:rsidR="00325924" w:rsidRDefault="004D407F">
          <w:pPr>
            <w:pStyle w:val="TOC2"/>
            <w:rPr>
              <w:rFonts w:asciiTheme="minorHAnsi" w:eastAsiaTheme="minorEastAsia" w:hAnsiTheme="minorHAnsi"/>
              <w:lang w:eastAsia="en-AU"/>
            </w:rPr>
          </w:pPr>
          <w:hyperlink w:anchor="_Toc34735524" w:history="1">
            <w:r w:rsidR="00325924" w:rsidRPr="006A0165">
              <w:rPr>
                <w:rStyle w:val="Hyperlink"/>
              </w:rPr>
              <w:t>Key findings</w:t>
            </w:r>
            <w:r w:rsidR="00325924">
              <w:rPr>
                <w:webHidden/>
              </w:rPr>
              <w:tab/>
            </w:r>
            <w:r w:rsidR="00325924">
              <w:rPr>
                <w:webHidden/>
              </w:rPr>
              <w:fldChar w:fldCharType="begin"/>
            </w:r>
            <w:r w:rsidR="00325924">
              <w:rPr>
                <w:webHidden/>
              </w:rPr>
              <w:instrText xml:space="preserve"> PAGEREF _Toc34735524 \h </w:instrText>
            </w:r>
            <w:r w:rsidR="00325924">
              <w:rPr>
                <w:webHidden/>
              </w:rPr>
            </w:r>
            <w:r w:rsidR="00325924">
              <w:rPr>
                <w:webHidden/>
              </w:rPr>
              <w:fldChar w:fldCharType="separate"/>
            </w:r>
            <w:r>
              <w:rPr>
                <w:webHidden/>
              </w:rPr>
              <w:t>v</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25" w:history="1">
            <w:r w:rsidR="00325924" w:rsidRPr="006A0165">
              <w:rPr>
                <w:rStyle w:val="Hyperlink"/>
              </w:rPr>
              <w:t>Background</w:t>
            </w:r>
            <w:r w:rsidR="00325924">
              <w:rPr>
                <w:webHidden/>
              </w:rPr>
              <w:tab/>
            </w:r>
            <w:r w:rsidR="00325924">
              <w:rPr>
                <w:webHidden/>
              </w:rPr>
              <w:fldChar w:fldCharType="begin"/>
            </w:r>
            <w:r w:rsidR="00325924">
              <w:rPr>
                <w:webHidden/>
              </w:rPr>
              <w:instrText xml:space="preserve"> PAGEREF _Toc34735525 \h </w:instrText>
            </w:r>
            <w:r w:rsidR="00325924">
              <w:rPr>
                <w:webHidden/>
              </w:rPr>
            </w:r>
            <w:r w:rsidR="00325924">
              <w:rPr>
                <w:webHidden/>
              </w:rPr>
              <w:fldChar w:fldCharType="separate"/>
            </w:r>
            <w:r>
              <w:rPr>
                <w:webHidden/>
              </w:rPr>
              <w:t>7</w:t>
            </w:r>
            <w:r w:rsidR="00325924">
              <w:rPr>
                <w:webHidden/>
              </w:rPr>
              <w:fldChar w:fldCharType="end"/>
            </w:r>
          </w:hyperlink>
        </w:p>
        <w:p w:rsidR="00325924" w:rsidRDefault="004D407F">
          <w:pPr>
            <w:pStyle w:val="TOC2"/>
            <w:rPr>
              <w:rFonts w:asciiTheme="minorHAnsi" w:eastAsiaTheme="minorEastAsia" w:hAnsiTheme="minorHAnsi"/>
              <w:lang w:eastAsia="en-AU"/>
            </w:rPr>
          </w:pPr>
          <w:hyperlink w:anchor="_Toc34735526" w:history="1">
            <w:r w:rsidR="00325924" w:rsidRPr="006A0165">
              <w:rPr>
                <w:rStyle w:val="Hyperlink"/>
                <w:lang w:eastAsia="ja-JP"/>
              </w:rPr>
              <w:t>The sMDB water market</w:t>
            </w:r>
            <w:r w:rsidR="00325924">
              <w:rPr>
                <w:webHidden/>
              </w:rPr>
              <w:tab/>
            </w:r>
            <w:r w:rsidR="00325924">
              <w:rPr>
                <w:webHidden/>
              </w:rPr>
              <w:fldChar w:fldCharType="begin"/>
            </w:r>
            <w:r w:rsidR="00325924">
              <w:rPr>
                <w:webHidden/>
              </w:rPr>
              <w:instrText xml:space="preserve"> PAGEREF _Toc34735526 \h </w:instrText>
            </w:r>
            <w:r w:rsidR="00325924">
              <w:rPr>
                <w:webHidden/>
              </w:rPr>
            </w:r>
            <w:r w:rsidR="00325924">
              <w:rPr>
                <w:webHidden/>
              </w:rPr>
              <w:fldChar w:fldCharType="separate"/>
            </w:r>
            <w:r>
              <w:rPr>
                <w:webHidden/>
              </w:rPr>
              <w:t>7</w:t>
            </w:r>
            <w:r w:rsidR="00325924">
              <w:rPr>
                <w:webHidden/>
              </w:rPr>
              <w:fldChar w:fldCharType="end"/>
            </w:r>
          </w:hyperlink>
        </w:p>
        <w:p w:rsidR="00325924" w:rsidRDefault="004D407F">
          <w:pPr>
            <w:pStyle w:val="TOC2"/>
            <w:rPr>
              <w:rFonts w:asciiTheme="minorHAnsi" w:eastAsiaTheme="minorEastAsia" w:hAnsiTheme="minorHAnsi"/>
              <w:lang w:eastAsia="en-AU"/>
            </w:rPr>
          </w:pPr>
          <w:hyperlink w:anchor="_Toc34735527" w:history="1">
            <w:r w:rsidR="00325924" w:rsidRPr="006A0165">
              <w:rPr>
                <w:rStyle w:val="Hyperlink"/>
              </w:rPr>
              <w:t>The Water Trade Model</w:t>
            </w:r>
            <w:r w:rsidR="00325924">
              <w:rPr>
                <w:webHidden/>
              </w:rPr>
              <w:tab/>
            </w:r>
            <w:r w:rsidR="00325924">
              <w:rPr>
                <w:webHidden/>
              </w:rPr>
              <w:fldChar w:fldCharType="begin"/>
            </w:r>
            <w:r w:rsidR="00325924">
              <w:rPr>
                <w:webHidden/>
              </w:rPr>
              <w:instrText xml:space="preserve"> PAGEREF _Toc34735527 \h </w:instrText>
            </w:r>
            <w:r w:rsidR="00325924">
              <w:rPr>
                <w:webHidden/>
              </w:rPr>
            </w:r>
            <w:r w:rsidR="00325924">
              <w:rPr>
                <w:webHidden/>
              </w:rPr>
              <w:fldChar w:fldCharType="separate"/>
            </w:r>
            <w:r>
              <w:rPr>
                <w:webHidden/>
              </w:rPr>
              <w:t>7</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28" w:history="1">
            <w:r w:rsidR="00325924" w:rsidRPr="006A0165">
              <w:rPr>
                <w:rStyle w:val="Hyperlink"/>
              </w:rPr>
              <w:t>Scenarios</w:t>
            </w:r>
            <w:r w:rsidR="00325924">
              <w:rPr>
                <w:webHidden/>
              </w:rPr>
              <w:tab/>
            </w:r>
            <w:r w:rsidR="00325924">
              <w:rPr>
                <w:webHidden/>
              </w:rPr>
              <w:fldChar w:fldCharType="begin"/>
            </w:r>
            <w:r w:rsidR="00325924">
              <w:rPr>
                <w:webHidden/>
              </w:rPr>
              <w:instrText xml:space="preserve"> PAGEREF _Toc34735528 \h </w:instrText>
            </w:r>
            <w:r w:rsidR="00325924">
              <w:rPr>
                <w:webHidden/>
              </w:rPr>
            </w:r>
            <w:r w:rsidR="00325924">
              <w:rPr>
                <w:webHidden/>
              </w:rPr>
              <w:fldChar w:fldCharType="separate"/>
            </w:r>
            <w:r>
              <w:rPr>
                <w:webHidden/>
              </w:rPr>
              <w:t>10</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29" w:history="1">
            <w:r w:rsidR="00325924" w:rsidRPr="006A0165">
              <w:rPr>
                <w:rStyle w:val="Hyperlink"/>
              </w:rPr>
              <w:t>Results</w:t>
            </w:r>
            <w:r w:rsidR="00325924">
              <w:rPr>
                <w:webHidden/>
              </w:rPr>
              <w:tab/>
            </w:r>
            <w:r w:rsidR="00325924">
              <w:rPr>
                <w:webHidden/>
              </w:rPr>
              <w:fldChar w:fldCharType="begin"/>
            </w:r>
            <w:r w:rsidR="00325924">
              <w:rPr>
                <w:webHidden/>
              </w:rPr>
              <w:instrText xml:space="preserve"> PAGEREF _Toc34735529 \h </w:instrText>
            </w:r>
            <w:r w:rsidR="00325924">
              <w:rPr>
                <w:webHidden/>
              </w:rPr>
            </w:r>
            <w:r w:rsidR="00325924">
              <w:rPr>
                <w:webHidden/>
              </w:rPr>
              <w:fldChar w:fldCharType="separate"/>
            </w:r>
            <w:r>
              <w:rPr>
                <w:webHidden/>
              </w:rPr>
              <w:t>12</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30" w:history="1">
            <w:r w:rsidR="00325924" w:rsidRPr="006A0165">
              <w:rPr>
                <w:rStyle w:val="Hyperlink"/>
              </w:rPr>
              <w:t>Appendix A: The model</w:t>
            </w:r>
            <w:r w:rsidR="00325924">
              <w:rPr>
                <w:webHidden/>
              </w:rPr>
              <w:tab/>
            </w:r>
            <w:r w:rsidR="00325924">
              <w:rPr>
                <w:webHidden/>
              </w:rPr>
              <w:fldChar w:fldCharType="begin"/>
            </w:r>
            <w:r w:rsidR="00325924">
              <w:rPr>
                <w:webHidden/>
              </w:rPr>
              <w:instrText xml:space="preserve"> PAGEREF _Toc34735530 \h </w:instrText>
            </w:r>
            <w:r w:rsidR="00325924">
              <w:rPr>
                <w:webHidden/>
              </w:rPr>
            </w:r>
            <w:r w:rsidR="00325924">
              <w:rPr>
                <w:webHidden/>
              </w:rPr>
              <w:fldChar w:fldCharType="separate"/>
            </w:r>
            <w:r>
              <w:rPr>
                <w:webHidden/>
              </w:rPr>
              <w:t>20</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31" w:history="1">
            <w:r w:rsidR="00325924" w:rsidRPr="006A0165">
              <w:rPr>
                <w:rStyle w:val="Hyperlink"/>
              </w:rPr>
              <w:t>Appendix B: Additional tables</w:t>
            </w:r>
            <w:r w:rsidR="00325924">
              <w:rPr>
                <w:webHidden/>
              </w:rPr>
              <w:tab/>
            </w:r>
            <w:r w:rsidR="00325924">
              <w:rPr>
                <w:webHidden/>
              </w:rPr>
              <w:fldChar w:fldCharType="begin"/>
            </w:r>
            <w:r w:rsidR="00325924">
              <w:rPr>
                <w:webHidden/>
              </w:rPr>
              <w:instrText xml:space="preserve"> PAGEREF _Toc34735531 \h </w:instrText>
            </w:r>
            <w:r w:rsidR="00325924">
              <w:rPr>
                <w:webHidden/>
              </w:rPr>
            </w:r>
            <w:r w:rsidR="00325924">
              <w:rPr>
                <w:webHidden/>
              </w:rPr>
              <w:fldChar w:fldCharType="separate"/>
            </w:r>
            <w:r>
              <w:rPr>
                <w:webHidden/>
              </w:rPr>
              <w:t>22</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32" w:history="1">
            <w:r w:rsidR="00325924" w:rsidRPr="006A0165">
              <w:rPr>
                <w:rStyle w:val="Hyperlink"/>
              </w:rPr>
              <w:t>Appendix C: Future water recovery</w:t>
            </w:r>
            <w:r w:rsidR="00325924">
              <w:rPr>
                <w:webHidden/>
              </w:rPr>
              <w:tab/>
            </w:r>
            <w:r w:rsidR="00325924">
              <w:rPr>
                <w:webHidden/>
              </w:rPr>
              <w:fldChar w:fldCharType="begin"/>
            </w:r>
            <w:r w:rsidR="00325924">
              <w:rPr>
                <w:webHidden/>
              </w:rPr>
              <w:instrText xml:space="preserve"> PAGEREF _Toc34735532 \h </w:instrText>
            </w:r>
            <w:r w:rsidR="00325924">
              <w:rPr>
                <w:webHidden/>
              </w:rPr>
            </w:r>
            <w:r w:rsidR="00325924">
              <w:rPr>
                <w:webHidden/>
              </w:rPr>
              <w:fldChar w:fldCharType="separate"/>
            </w:r>
            <w:r>
              <w:rPr>
                <w:webHidden/>
              </w:rPr>
              <w:t>26</w:t>
            </w:r>
            <w:r w:rsidR="00325924">
              <w:rPr>
                <w:webHidden/>
              </w:rPr>
              <w:fldChar w:fldCharType="end"/>
            </w:r>
          </w:hyperlink>
        </w:p>
        <w:p w:rsidR="00325924" w:rsidRDefault="004D407F">
          <w:pPr>
            <w:pStyle w:val="TOC2"/>
            <w:rPr>
              <w:rFonts w:asciiTheme="minorHAnsi" w:eastAsiaTheme="minorEastAsia" w:hAnsiTheme="minorHAnsi"/>
              <w:lang w:eastAsia="en-AU"/>
            </w:rPr>
          </w:pPr>
          <w:hyperlink w:anchor="_Toc34735533" w:history="1">
            <w:r w:rsidR="00325924" w:rsidRPr="006A0165">
              <w:rPr>
                <w:rStyle w:val="Hyperlink"/>
              </w:rPr>
              <w:t>Supply effect of future water recovery</w:t>
            </w:r>
            <w:r w:rsidR="00325924">
              <w:rPr>
                <w:webHidden/>
              </w:rPr>
              <w:tab/>
            </w:r>
            <w:r w:rsidR="00325924">
              <w:rPr>
                <w:webHidden/>
              </w:rPr>
              <w:fldChar w:fldCharType="begin"/>
            </w:r>
            <w:r w:rsidR="00325924">
              <w:rPr>
                <w:webHidden/>
              </w:rPr>
              <w:instrText xml:space="preserve"> PAGEREF _Toc34735533 \h </w:instrText>
            </w:r>
            <w:r w:rsidR="00325924">
              <w:rPr>
                <w:webHidden/>
              </w:rPr>
            </w:r>
            <w:r w:rsidR="00325924">
              <w:rPr>
                <w:webHidden/>
              </w:rPr>
              <w:fldChar w:fldCharType="separate"/>
            </w:r>
            <w:r>
              <w:rPr>
                <w:webHidden/>
              </w:rPr>
              <w:t>26</w:t>
            </w:r>
            <w:r w:rsidR="00325924">
              <w:rPr>
                <w:webHidden/>
              </w:rPr>
              <w:fldChar w:fldCharType="end"/>
            </w:r>
          </w:hyperlink>
        </w:p>
        <w:p w:rsidR="00325924" w:rsidRDefault="004D407F">
          <w:pPr>
            <w:pStyle w:val="TOC1"/>
            <w:rPr>
              <w:rFonts w:asciiTheme="minorHAnsi" w:eastAsiaTheme="minorEastAsia" w:hAnsiTheme="minorHAnsi"/>
              <w:b w:val="0"/>
              <w:lang w:eastAsia="en-AU"/>
            </w:rPr>
          </w:pPr>
          <w:hyperlink w:anchor="_Toc34735534" w:history="1">
            <w:r w:rsidR="00325924" w:rsidRPr="006A0165">
              <w:rPr>
                <w:rStyle w:val="Hyperlink"/>
              </w:rPr>
              <w:t>References</w:t>
            </w:r>
            <w:r w:rsidR="00325924">
              <w:rPr>
                <w:webHidden/>
              </w:rPr>
              <w:tab/>
            </w:r>
            <w:r w:rsidR="00325924">
              <w:rPr>
                <w:webHidden/>
              </w:rPr>
              <w:fldChar w:fldCharType="begin"/>
            </w:r>
            <w:r w:rsidR="00325924">
              <w:rPr>
                <w:webHidden/>
              </w:rPr>
              <w:instrText xml:space="preserve"> PAGEREF _Toc34735534 \h </w:instrText>
            </w:r>
            <w:r w:rsidR="00325924">
              <w:rPr>
                <w:webHidden/>
              </w:rPr>
            </w:r>
            <w:r w:rsidR="00325924">
              <w:rPr>
                <w:webHidden/>
              </w:rPr>
              <w:fldChar w:fldCharType="separate"/>
            </w:r>
            <w:r>
              <w:rPr>
                <w:webHidden/>
              </w:rPr>
              <w:t>28</w:t>
            </w:r>
            <w:r w:rsidR="00325924">
              <w:rPr>
                <w:webHidden/>
              </w:rPr>
              <w:fldChar w:fldCharType="end"/>
            </w:r>
          </w:hyperlink>
        </w:p>
        <w:p w:rsidR="001A0266" w:rsidRDefault="00533D56">
          <w:r>
            <w:rPr>
              <w:b/>
              <w:noProof/>
            </w:rPr>
            <w:fldChar w:fldCharType="end"/>
          </w:r>
        </w:p>
      </w:sdtContent>
    </w:sdt>
    <w:p w:rsidR="001A0266" w:rsidRDefault="00533D56">
      <w:pPr>
        <w:pStyle w:val="TOCHeading2"/>
        <w:rPr>
          <w:rStyle w:val="Strong"/>
        </w:rPr>
      </w:pPr>
      <w:r>
        <w:rPr>
          <w:rStyle w:val="Strong"/>
        </w:rPr>
        <w:t>Tables</w:t>
      </w:r>
    </w:p>
    <w:p w:rsidR="00325924" w:rsidRDefault="00533D56">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34735535" w:history="1">
        <w:r w:rsidR="00325924" w:rsidRPr="008C3C02">
          <w:rPr>
            <w:rStyle w:val="Hyperlink"/>
            <w:noProof/>
          </w:rPr>
          <w:t>Table 1 Scenario assumptions</w:t>
        </w:r>
        <w:r w:rsidR="00325924">
          <w:rPr>
            <w:noProof/>
            <w:webHidden/>
          </w:rPr>
          <w:tab/>
        </w:r>
        <w:r w:rsidR="00325924">
          <w:rPr>
            <w:noProof/>
            <w:webHidden/>
          </w:rPr>
          <w:fldChar w:fldCharType="begin"/>
        </w:r>
        <w:r w:rsidR="00325924">
          <w:rPr>
            <w:noProof/>
            <w:webHidden/>
          </w:rPr>
          <w:instrText xml:space="preserve"> PAGEREF _Toc34735535 \h </w:instrText>
        </w:r>
        <w:r w:rsidR="00325924">
          <w:rPr>
            <w:noProof/>
            <w:webHidden/>
          </w:rPr>
        </w:r>
        <w:r w:rsidR="00325924">
          <w:rPr>
            <w:noProof/>
            <w:webHidden/>
          </w:rPr>
          <w:fldChar w:fldCharType="separate"/>
        </w:r>
        <w:r w:rsidR="004D407F">
          <w:rPr>
            <w:noProof/>
            <w:webHidden/>
          </w:rPr>
          <w:t>10</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36" w:history="1">
        <w:r w:rsidR="00325924" w:rsidRPr="008C3C02">
          <w:rPr>
            <w:rStyle w:val="Hyperlink"/>
            <w:noProof/>
          </w:rPr>
          <w:t>Table 2 Average annual GVIAP, by scenario and irrigation activity, sMDB</w:t>
        </w:r>
        <w:r w:rsidR="00325924">
          <w:rPr>
            <w:noProof/>
            <w:webHidden/>
          </w:rPr>
          <w:tab/>
        </w:r>
        <w:r w:rsidR="00325924">
          <w:rPr>
            <w:noProof/>
            <w:webHidden/>
          </w:rPr>
          <w:fldChar w:fldCharType="begin"/>
        </w:r>
        <w:r w:rsidR="00325924">
          <w:rPr>
            <w:noProof/>
            <w:webHidden/>
          </w:rPr>
          <w:instrText xml:space="preserve"> PAGEREF _Toc34735536 \h </w:instrText>
        </w:r>
        <w:r w:rsidR="00325924">
          <w:rPr>
            <w:noProof/>
            <w:webHidden/>
          </w:rPr>
        </w:r>
        <w:r w:rsidR="00325924">
          <w:rPr>
            <w:noProof/>
            <w:webHidden/>
          </w:rPr>
          <w:fldChar w:fldCharType="separate"/>
        </w:r>
        <w:r>
          <w:rPr>
            <w:noProof/>
            <w:webHidden/>
          </w:rPr>
          <w:t>19</w:t>
        </w:r>
        <w:r w:rsidR="00325924">
          <w:rPr>
            <w:noProof/>
            <w:webHidden/>
          </w:rPr>
          <w:fldChar w:fldCharType="end"/>
        </w:r>
      </w:hyperlink>
    </w:p>
    <w:p w:rsidR="00325924" w:rsidRDefault="00533D56">
      <w:pPr>
        <w:pStyle w:val="TableofFigures"/>
        <w:tabs>
          <w:tab w:val="right" w:leader="dot" w:pos="9060"/>
        </w:tabs>
        <w:rPr>
          <w:noProof/>
        </w:rPr>
      </w:pPr>
      <w:r>
        <w:rPr>
          <w:noProof/>
        </w:rPr>
        <w:fldChar w:fldCharType="end"/>
      </w:r>
      <w:r>
        <w:fldChar w:fldCharType="begin"/>
      </w:r>
      <w:r>
        <w:instrText xml:space="preserve"> TOC \h \z \c "Table B" </w:instrText>
      </w:r>
      <w:r>
        <w:fldChar w:fldCharType="separate"/>
      </w:r>
    </w:p>
    <w:p w:rsidR="00325924" w:rsidRDefault="004D407F">
      <w:pPr>
        <w:pStyle w:val="TableofFigures"/>
        <w:tabs>
          <w:tab w:val="right" w:leader="dot" w:pos="9060"/>
        </w:tabs>
        <w:rPr>
          <w:rFonts w:asciiTheme="minorHAnsi" w:eastAsiaTheme="minorEastAsia" w:hAnsiTheme="minorHAnsi"/>
          <w:noProof/>
          <w:lang w:eastAsia="en-AU"/>
        </w:rPr>
      </w:pPr>
      <w:hyperlink w:anchor="_Toc34735537" w:history="1">
        <w:r w:rsidR="00325924" w:rsidRPr="00AD691B">
          <w:rPr>
            <w:rStyle w:val="Hyperlink"/>
            <w:noProof/>
          </w:rPr>
          <w:t>Table B1 Average water allocation price ($/ML) by trading zone</w:t>
        </w:r>
        <w:r w:rsidR="00325924">
          <w:rPr>
            <w:noProof/>
            <w:webHidden/>
          </w:rPr>
          <w:tab/>
        </w:r>
        <w:r w:rsidR="00325924">
          <w:rPr>
            <w:noProof/>
            <w:webHidden/>
          </w:rPr>
          <w:fldChar w:fldCharType="begin"/>
        </w:r>
        <w:r w:rsidR="00325924">
          <w:rPr>
            <w:noProof/>
            <w:webHidden/>
          </w:rPr>
          <w:instrText xml:space="preserve"> PAGEREF _Toc34735537 \h </w:instrText>
        </w:r>
        <w:r w:rsidR="00325924">
          <w:rPr>
            <w:noProof/>
            <w:webHidden/>
          </w:rPr>
        </w:r>
        <w:r w:rsidR="00325924">
          <w:rPr>
            <w:noProof/>
            <w:webHidden/>
          </w:rPr>
          <w:fldChar w:fldCharType="separate"/>
        </w:r>
        <w:r>
          <w:rPr>
            <w:noProof/>
            <w:webHidden/>
          </w:rPr>
          <w:t>22</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38" w:history="1">
        <w:r w:rsidR="00325924" w:rsidRPr="00AD691B">
          <w:rPr>
            <w:rStyle w:val="Hyperlink"/>
            <w:noProof/>
          </w:rPr>
          <w:t>Table B2 Average net trade (GL) by trading zone</w:t>
        </w:r>
        <w:r w:rsidR="00325924">
          <w:rPr>
            <w:noProof/>
            <w:webHidden/>
          </w:rPr>
          <w:tab/>
        </w:r>
        <w:r w:rsidR="00325924">
          <w:rPr>
            <w:noProof/>
            <w:webHidden/>
          </w:rPr>
          <w:fldChar w:fldCharType="begin"/>
        </w:r>
        <w:r w:rsidR="00325924">
          <w:rPr>
            <w:noProof/>
            <w:webHidden/>
          </w:rPr>
          <w:instrText xml:space="preserve"> PAGEREF _Toc34735538 \h </w:instrText>
        </w:r>
        <w:r w:rsidR="00325924">
          <w:rPr>
            <w:noProof/>
            <w:webHidden/>
          </w:rPr>
        </w:r>
        <w:r w:rsidR="00325924">
          <w:rPr>
            <w:noProof/>
            <w:webHidden/>
          </w:rPr>
          <w:fldChar w:fldCharType="separate"/>
        </w:r>
        <w:r>
          <w:rPr>
            <w:noProof/>
            <w:webHidden/>
          </w:rPr>
          <w:t>22</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39" w:history="1">
        <w:r w:rsidR="00325924" w:rsidRPr="00AD691B">
          <w:rPr>
            <w:rStyle w:val="Hyperlink"/>
            <w:noProof/>
          </w:rPr>
          <w:t>Table B3 Number of years (out of 14 years) trade limits were binding in each trading zone</w:t>
        </w:r>
        <w:r w:rsidR="00325924">
          <w:rPr>
            <w:noProof/>
            <w:webHidden/>
          </w:rPr>
          <w:tab/>
        </w:r>
        <w:r w:rsidR="00325924">
          <w:rPr>
            <w:noProof/>
            <w:webHidden/>
          </w:rPr>
          <w:fldChar w:fldCharType="begin"/>
        </w:r>
        <w:r w:rsidR="00325924">
          <w:rPr>
            <w:noProof/>
            <w:webHidden/>
          </w:rPr>
          <w:instrText xml:space="preserve"> PAGEREF _Toc34735539 \h </w:instrText>
        </w:r>
        <w:r w:rsidR="00325924">
          <w:rPr>
            <w:noProof/>
            <w:webHidden/>
          </w:rPr>
        </w:r>
        <w:r w:rsidR="00325924">
          <w:rPr>
            <w:noProof/>
            <w:webHidden/>
          </w:rPr>
          <w:fldChar w:fldCharType="separate"/>
        </w:r>
        <w:r>
          <w:rPr>
            <w:noProof/>
            <w:webHidden/>
          </w:rPr>
          <w:t>23</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40" w:history="1">
        <w:r w:rsidR="00325924" w:rsidRPr="00AD691B">
          <w:rPr>
            <w:rStyle w:val="Hyperlink"/>
            <w:noProof/>
          </w:rPr>
          <w:t>Table B4 Irrigation water use by catchment</w:t>
        </w:r>
        <w:r w:rsidR="00325924">
          <w:rPr>
            <w:noProof/>
            <w:webHidden/>
          </w:rPr>
          <w:tab/>
        </w:r>
        <w:r w:rsidR="00325924">
          <w:rPr>
            <w:noProof/>
            <w:webHidden/>
          </w:rPr>
          <w:fldChar w:fldCharType="begin"/>
        </w:r>
        <w:r w:rsidR="00325924">
          <w:rPr>
            <w:noProof/>
            <w:webHidden/>
          </w:rPr>
          <w:instrText xml:space="preserve"> PAGEREF _Toc34735540 \h </w:instrText>
        </w:r>
        <w:r w:rsidR="00325924">
          <w:rPr>
            <w:noProof/>
            <w:webHidden/>
          </w:rPr>
        </w:r>
        <w:r w:rsidR="00325924">
          <w:rPr>
            <w:noProof/>
            <w:webHidden/>
          </w:rPr>
          <w:fldChar w:fldCharType="separate"/>
        </w:r>
        <w:r>
          <w:rPr>
            <w:noProof/>
            <w:webHidden/>
          </w:rPr>
          <w:t>23</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41" w:history="1">
        <w:r w:rsidR="00325924" w:rsidRPr="00AD691B">
          <w:rPr>
            <w:rStyle w:val="Hyperlink"/>
            <w:noProof/>
          </w:rPr>
          <w:t>Table B5 Percentage chance of allocation price ranges in southern basin, by scenario</w:t>
        </w:r>
        <w:r w:rsidR="00325924">
          <w:rPr>
            <w:noProof/>
            <w:webHidden/>
          </w:rPr>
          <w:tab/>
        </w:r>
        <w:r w:rsidR="00325924">
          <w:rPr>
            <w:noProof/>
            <w:webHidden/>
          </w:rPr>
          <w:fldChar w:fldCharType="begin"/>
        </w:r>
        <w:r w:rsidR="00325924">
          <w:rPr>
            <w:noProof/>
            <w:webHidden/>
          </w:rPr>
          <w:instrText xml:space="preserve"> PAGEREF _Toc34735541 \h </w:instrText>
        </w:r>
        <w:r w:rsidR="00325924">
          <w:rPr>
            <w:noProof/>
            <w:webHidden/>
          </w:rPr>
        </w:r>
        <w:r w:rsidR="00325924">
          <w:rPr>
            <w:noProof/>
            <w:webHidden/>
          </w:rPr>
          <w:fldChar w:fldCharType="separate"/>
        </w:r>
        <w:r>
          <w:rPr>
            <w:noProof/>
            <w:webHidden/>
          </w:rPr>
          <w:t>23</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42" w:history="1">
        <w:r w:rsidR="00325924" w:rsidRPr="00AD691B">
          <w:rPr>
            <w:rStyle w:val="Hyperlink"/>
            <w:noProof/>
          </w:rPr>
          <w:t>Table B6 Water use (GL) by activity, ‘dry’, ‘wet’ and ‘average’ years, current market</w:t>
        </w:r>
        <w:r w:rsidR="00325924">
          <w:rPr>
            <w:noProof/>
            <w:webHidden/>
          </w:rPr>
          <w:tab/>
        </w:r>
        <w:r w:rsidR="00325924">
          <w:rPr>
            <w:noProof/>
            <w:webHidden/>
          </w:rPr>
          <w:fldChar w:fldCharType="begin"/>
        </w:r>
        <w:r w:rsidR="00325924">
          <w:rPr>
            <w:noProof/>
            <w:webHidden/>
          </w:rPr>
          <w:instrText xml:space="preserve"> PAGEREF _Toc34735542 \h </w:instrText>
        </w:r>
        <w:r w:rsidR="00325924">
          <w:rPr>
            <w:noProof/>
            <w:webHidden/>
          </w:rPr>
        </w:r>
        <w:r w:rsidR="00325924">
          <w:rPr>
            <w:noProof/>
            <w:webHidden/>
          </w:rPr>
          <w:fldChar w:fldCharType="separate"/>
        </w:r>
        <w:r>
          <w:rPr>
            <w:noProof/>
            <w:webHidden/>
          </w:rPr>
          <w:t>24</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43" w:history="1">
        <w:r w:rsidR="00325924" w:rsidRPr="00AD691B">
          <w:rPr>
            <w:rStyle w:val="Hyperlink"/>
            <w:noProof/>
          </w:rPr>
          <w:t>Table B7 Water use (GL) by activity, ‘dry’, ‘wet’ and ‘average’ years, future market</w:t>
        </w:r>
        <w:r w:rsidR="00325924">
          <w:rPr>
            <w:noProof/>
            <w:webHidden/>
          </w:rPr>
          <w:tab/>
        </w:r>
        <w:r w:rsidR="00325924">
          <w:rPr>
            <w:noProof/>
            <w:webHidden/>
          </w:rPr>
          <w:fldChar w:fldCharType="begin"/>
        </w:r>
        <w:r w:rsidR="00325924">
          <w:rPr>
            <w:noProof/>
            <w:webHidden/>
          </w:rPr>
          <w:instrText xml:space="preserve"> PAGEREF _Toc34735543 \h </w:instrText>
        </w:r>
        <w:r w:rsidR="00325924">
          <w:rPr>
            <w:noProof/>
            <w:webHidden/>
          </w:rPr>
        </w:r>
        <w:r w:rsidR="00325924">
          <w:rPr>
            <w:noProof/>
            <w:webHidden/>
          </w:rPr>
          <w:fldChar w:fldCharType="separate"/>
        </w:r>
        <w:r>
          <w:rPr>
            <w:noProof/>
            <w:webHidden/>
          </w:rPr>
          <w:t>24</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44" w:history="1">
        <w:r w:rsidR="00325924" w:rsidRPr="00AD691B">
          <w:rPr>
            <w:rStyle w:val="Hyperlink"/>
            <w:noProof/>
          </w:rPr>
          <w:t>Table B8 Water use (GL) by activity, ‘dry’, ‘wet’ and ‘average’ years, future market (dry)</w:t>
        </w:r>
        <w:r w:rsidR="00325924">
          <w:rPr>
            <w:noProof/>
            <w:webHidden/>
          </w:rPr>
          <w:tab/>
        </w:r>
        <w:r w:rsidR="00325924">
          <w:rPr>
            <w:noProof/>
            <w:webHidden/>
          </w:rPr>
          <w:fldChar w:fldCharType="begin"/>
        </w:r>
        <w:r w:rsidR="00325924">
          <w:rPr>
            <w:noProof/>
            <w:webHidden/>
          </w:rPr>
          <w:instrText xml:space="preserve"> PAGEREF _Toc34735544 \h </w:instrText>
        </w:r>
        <w:r w:rsidR="00325924">
          <w:rPr>
            <w:noProof/>
            <w:webHidden/>
          </w:rPr>
        </w:r>
        <w:r w:rsidR="00325924">
          <w:rPr>
            <w:noProof/>
            <w:webHidden/>
          </w:rPr>
          <w:fldChar w:fldCharType="separate"/>
        </w:r>
        <w:r>
          <w:rPr>
            <w:noProof/>
            <w:webHidden/>
          </w:rPr>
          <w:t>25</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45" w:history="1">
        <w:r w:rsidR="00325924" w:rsidRPr="00AD691B">
          <w:rPr>
            <w:rStyle w:val="Hyperlink"/>
            <w:noProof/>
          </w:rPr>
          <w:t>Table B9 Percentage change in units of production, future market scenarios compared with the current market</w:t>
        </w:r>
        <w:r w:rsidR="00325924">
          <w:rPr>
            <w:noProof/>
            <w:webHidden/>
          </w:rPr>
          <w:tab/>
        </w:r>
        <w:r w:rsidR="00325924">
          <w:rPr>
            <w:noProof/>
            <w:webHidden/>
          </w:rPr>
          <w:fldChar w:fldCharType="begin"/>
        </w:r>
        <w:r w:rsidR="00325924">
          <w:rPr>
            <w:noProof/>
            <w:webHidden/>
          </w:rPr>
          <w:instrText xml:space="preserve"> PAGEREF _Toc34735545 \h </w:instrText>
        </w:r>
        <w:r w:rsidR="00325924">
          <w:rPr>
            <w:noProof/>
            <w:webHidden/>
          </w:rPr>
        </w:r>
        <w:r w:rsidR="00325924">
          <w:rPr>
            <w:noProof/>
            <w:webHidden/>
          </w:rPr>
          <w:fldChar w:fldCharType="separate"/>
        </w:r>
        <w:r>
          <w:rPr>
            <w:noProof/>
            <w:webHidden/>
          </w:rPr>
          <w:t>25</w:t>
        </w:r>
        <w:r w:rsidR="00325924">
          <w:rPr>
            <w:noProof/>
            <w:webHidden/>
          </w:rPr>
          <w:fldChar w:fldCharType="end"/>
        </w:r>
      </w:hyperlink>
    </w:p>
    <w:p w:rsidR="001A0266" w:rsidRDefault="00533D56">
      <w:pPr>
        <w:spacing w:before="120" w:after="120"/>
      </w:pPr>
      <w:r>
        <w:fldChar w:fldCharType="end"/>
      </w:r>
    </w:p>
    <w:p w:rsidR="00325924" w:rsidRDefault="00461E52">
      <w:pPr>
        <w:pStyle w:val="TableofFigures"/>
        <w:tabs>
          <w:tab w:val="right" w:leader="dot" w:pos="9060"/>
        </w:tabs>
        <w:rPr>
          <w:rFonts w:asciiTheme="minorHAnsi" w:eastAsiaTheme="minorEastAsia" w:hAnsiTheme="minorHAnsi"/>
          <w:noProof/>
          <w:lang w:eastAsia="en-AU"/>
        </w:rPr>
      </w:pPr>
      <w:r>
        <w:fldChar w:fldCharType="begin"/>
      </w:r>
      <w:r>
        <w:instrText xml:space="preserve"> TOC \f \h \z \t "Caption" \c </w:instrText>
      </w:r>
      <w:r>
        <w:fldChar w:fldCharType="separate"/>
      </w:r>
      <w:hyperlink w:anchor="_Toc34735568" w:history="1">
        <w:r w:rsidR="00325924" w:rsidRPr="00DB34F4">
          <w:rPr>
            <w:rStyle w:val="Hyperlink"/>
            <w:noProof/>
          </w:rPr>
          <w:t>Table C1 Water entitlement types</w:t>
        </w:r>
        <w:r w:rsidR="00325924">
          <w:rPr>
            <w:noProof/>
            <w:webHidden/>
          </w:rPr>
          <w:tab/>
        </w:r>
        <w:r w:rsidR="00325924">
          <w:rPr>
            <w:noProof/>
            <w:webHidden/>
          </w:rPr>
          <w:fldChar w:fldCharType="begin"/>
        </w:r>
        <w:r w:rsidR="00325924">
          <w:rPr>
            <w:noProof/>
            <w:webHidden/>
          </w:rPr>
          <w:instrText xml:space="preserve"> PAGEREF _Toc34735568 \h </w:instrText>
        </w:r>
        <w:r w:rsidR="00325924">
          <w:rPr>
            <w:noProof/>
            <w:webHidden/>
          </w:rPr>
        </w:r>
        <w:r w:rsidR="00325924">
          <w:rPr>
            <w:noProof/>
            <w:webHidden/>
          </w:rPr>
          <w:fldChar w:fldCharType="separate"/>
        </w:r>
        <w:r w:rsidR="004D407F">
          <w:rPr>
            <w:noProof/>
            <w:webHidden/>
          </w:rPr>
          <w:t>26</w:t>
        </w:r>
        <w:r w:rsidR="00325924">
          <w:rPr>
            <w:noProof/>
            <w:webHidden/>
          </w:rPr>
          <w:fldChar w:fldCharType="end"/>
        </w:r>
      </w:hyperlink>
    </w:p>
    <w:p w:rsidR="00325924" w:rsidRDefault="004D407F">
      <w:pPr>
        <w:pStyle w:val="TableofFigures"/>
        <w:tabs>
          <w:tab w:val="right" w:leader="dot" w:pos="9060"/>
        </w:tabs>
        <w:rPr>
          <w:rFonts w:asciiTheme="minorHAnsi" w:eastAsiaTheme="minorEastAsia" w:hAnsiTheme="minorHAnsi"/>
          <w:noProof/>
          <w:lang w:eastAsia="en-AU"/>
        </w:rPr>
      </w:pPr>
      <w:hyperlink w:anchor="_Toc34735569" w:history="1">
        <w:r w:rsidR="00325924" w:rsidRPr="00DB34F4">
          <w:rPr>
            <w:rStyle w:val="Hyperlink"/>
            <w:noProof/>
          </w:rPr>
          <w:t>Table C2</w:t>
        </w:r>
        <w:r w:rsidR="00325924" w:rsidRPr="00DB34F4">
          <w:rPr>
            <w:rStyle w:val="Hyperlink"/>
            <w:noProof/>
            <w:lang w:eastAsia="ja-JP"/>
          </w:rPr>
          <w:t xml:space="preserve"> Future water recovery through on-farm programs, by entitlement type (ML)</w:t>
        </w:r>
        <w:r w:rsidR="00325924">
          <w:rPr>
            <w:noProof/>
            <w:webHidden/>
          </w:rPr>
          <w:tab/>
        </w:r>
        <w:r w:rsidR="00325924">
          <w:rPr>
            <w:noProof/>
            <w:webHidden/>
          </w:rPr>
          <w:fldChar w:fldCharType="begin"/>
        </w:r>
        <w:r w:rsidR="00325924">
          <w:rPr>
            <w:noProof/>
            <w:webHidden/>
          </w:rPr>
          <w:instrText xml:space="preserve"> PAGEREF _Toc34735569 \h </w:instrText>
        </w:r>
        <w:r w:rsidR="00325924">
          <w:rPr>
            <w:noProof/>
            <w:webHidden/>
          </w:rPr>
        </w:r>
        <w:r w:rsidR="00325924">
          <w:rPr>
            <w:noProof/>
            <w:webHidden/>
          </w:rPr>
          <w:fldChar w:fldCharType="separate"/>
        </w:r>
        <w:r>
          <w:rPr>
            <w:noProof/>
            <w:webHidden/>
          </w:rPr>
          <w:t>27</w:t>
        </w:r>
        <w:r w:rsidR="00325924">
          <w:rPr>
            <w:noProof/>
            <w:webHidden/>
          </w:rPr>
          <w:fldChar w:fldCharType="end"/>
        </w:r>
      </w:hyperlink>
    </w:p>
    <w:p w:rsidR="00461E52" w:rsidRDefault="00461E52">
      <w:pPr>
        <w:spacing w:before="120" w:after="120"/>
      </w:pPr>
      <w:r>
        <w:fldChar w:fldCharType="end"/>
      </w:r>
    </w:p>
    <w:p w:rsidR="00325924" w:rsidRDefault="00325924">
      <w:pPr>
        <w:spacing w:before="120" w:after="120"/>
      </w:pPr>
    </w:p>
    <w:p w:rsidR="001A0266" w:rsidRDefault="00533D56">
      <w:pPr>
        <w:pStyle w:val="TOCHeading2"/>
        <w:rPr>
          <w:rStyle w:val="Strong"/>
        </w:rPr>
      </w:pPr>
      <w:r>
        <w:rPr>
          <w:rStyle w:val="Strong"/>
        </w:rPr>
        <w:lastRenderedPageBreak/>
        <w:t>Figures</w:t>
      </w:r>
    </w:p>
    <w:p w:rsidR="007774F9" w:rsidRDefault="00533D56">
      <w:pPr>
        <w:pStyle w:val="TableofFigures"/>
        <w:tabs>
          <w:tab w:val="right" w:leader="dot" w:pos="9060"/>
        </w:tabs>
        <w:rPr>
          <w:rStyle w:val="Hyperlink"/>
          <w:noProof/>
        </w:rPr>
      </w:pPr>
      <w:r>
        <w:fldChar w:fldCharType="begin"/>
      </w:r>
      <w:r>
        <w:instrText xml:space="preserve"> TOC \h \z \c "Figure" </w:instrText>
      </w:r>
      <w:r>
        <w:fldChar w:fldCharType="separate"/>
      </w:r>
      <w:hyperlink w:anchor="_Toc34736249" w:history="1">
        <w:r w:rsidR="007774F9" w:rsidRPr="00410206">
          <w:rPr>
            <w:rStyle w:val="Hyperlink"/>
            <w:noProof/>
          </w:rPr>
          <w:t>Figure S1 Weighted water allocation price by scenario, southern Murray-Darling Basin</w:t>
        </w:r>
        <w:r w:rsidR="007774F9">
          <w:rPr>
            <w:noProof/>
            <w:webHidden/>
          </w:rPr>
          <w:tab/>
        </w:r>
        <w:r w:rsidR="007774F9">
          <w:rPr>
            <w:noProof/>
            <w:webHidden/>
          </w:rPr>
          <w:fldChar w:fldCharType="begin"/>
        </w:r>
        <w:r w:rsidR="007774F9">
          <w:rPr>
            <w:noProof/>
            <w:webHidden/>
          </w:rPr>
          <w:instrText xml:space="preserve"> PAGEREF _Toc34736249 \h </w:instrText>
        </w:r>
        <w:r w:rsidR="007774F9">
          <w:rPr>
            <w:noProof/>
            <w:webHidden/>
          </w:rPr>
        </w:r>
        <w:r w:rsidR="007774F9">
          <w:rPr>
            <w:noProof/>
            <w:webHidden/>
          </w:rPr>
          <w:fldChar w:fldCharType="separate"/>
        </w:r>
        <w:r w:rsidR="004D407F">
          <w:rPr>
            <w:noProof/>
            <w:webHidden/>
          </w:rPr>
          <w:t>vi</w:t>
        </w:r>
        <w:r w:rsidR="007774F9">
          <w:rPr>
            <w:noProof/>
            <w:webHidden/>
          </w:rPr>
          <w:fldChar w:fldCharType="end"/>
        </w:r>
      </w:hyperlink>
    </w:p>
    <w:p w:rsidR="007774F9" w:rsidRPr="007774F9" w:rsidRDefault="007774F9" w:rsidP="007774F9"/>
    <w:p w:rsidR="007774F9" w:rsidRDefault="004D407F">
      <w:pPr>
        <w:pStyle w:val="TableofFigures"/>
        <w:tabs>
          <w:tab w:val="right" w:leader="dot" w:pos="9060"/>
        </w:tabs>
        <w:rPr>
          <w:rFonts w:asciiTheme="minorHAnsi" w:eastAsiaTheme="minorEastAsia" w:hAnsiTheme="minorHAnsi"/>
          <w:noProof/>
          <w:lang w:eastAsia="en-AU"/>
        </w:rPr>
      </w:pPr>
      <w:hyperlink w:anchor="_Toc34736250" w:history="1">
        <w:r w:rsidR="007774F9" w:rsidRPr="00410206">
          <w:rPr>
            <w:rStyle w:val="Hyperlink"/>
            <w:noProof/>
          </w:rPr>
          <w:t>Figure 1 Scope and coverage for the Water Trade Model</w:t>
        </w:r>
        <w:r w:rsidR="007774F9">
          <w:rPr>
            <w:noProof/>
            <w:webHidden/>
          </w:rPr>
          <w:tab/>
        </w:r>
        <w:r w:rsidR="007774F9">
          <w:rPr>
            <w:noProof/>
            <w:webHidden/>
          </w:rPr>
          <w:fldChar w:fldCharType="begin"/>
        </w:r>
        <w:r w:rsidR="007774F9">
          <w:rPr>
            <w:noProof/>
            <w:webHidden/>
          </w:rPr>
          <w:instrText xml:space="preserve"> PAGEREF _Toc34736250 \h </w:instrText>
        </w:r>
        <w:r w:rsidR="007774F9">
          <w:rPr>
            <w:noProof/>
            <w:webHidden/>
          </w:rPr>
        </w:r>
        <w:r w:rsidR="007774F9">
          <w:rPr>
            <w:noProof/>
            <w:webHidden/>
          </w:rPr>
          <w:fldChar w:fldCharType="separate"/>
        </w:r>
        <w:r>
          <w:rPr>
            <w:noProof/>
            <w:webHidden/>
          </w:rPr>
          <w:t>8</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1" w:history="1">
        <w:r w:rsidR="007774F9" w:rsidRPr="00410206">
          <w:rPr>
            <w:rStyle w:val="Hyperlink"/>
            <w:noProof/>
          </w:rPr>
          <w:t>Figure 2 Water Trade Model inputs and outputs</w:t>
        </w:r>
        <w:r w:rsidR="007774F9">
          <w:rPr>
            <w:noProof/>
            <w:webHidden/>
          </w:rPr>
          <w:tab/>
        </w:r>
        <w:r w:rsidR="007774F9">
          <w:rPr>
            <w:noProof/>
            <w:webHidden/>
          </w:rPr>
          <w:fldChar w:fldCharType="begin"/>
        </w:r>
        <w:r w:rsidR="007774F9">
          <w:rPr>
            <w:noProof/>
            <w:webHidden/>
          </w:rPr>
          <w:instrText xml:space="preserve"> PAGEREF _Toc34736251 \h </w:instrText>
        </w:r>
        <w:r w:rsidR="007774F9">
          <w:rPr>
            <w:noProof/>
            <w:webHidden/>
          </w:rPr>
        </w:r>
        <w:r w:rsidR="007774F9">
          <w:rPr>
            <w:noProof/>
            <w:webHidden/>
          </w:rPr>
          <w:fldChar w:fldCharType="separate"/>
        </w:r>
        <w:r>
          <w:rPr>
            <w:noProof/>
            <w:webHidden/>
          </w:rPr>
          <w:t>8</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2" w:history="1">
        <w:r w:rsidR="007774F9" w:rsidRPr="00410206">
          <w:rPr>
            <w:rStyle w:val="Hyperlink"/>
            <w:noProof/>
          </w:rPr>
          <w:t>Figure 3 Surface water supply distribution by scenario, southern Murray-Darling Basin</w:t>
        </w:r>
        <w:r w:rsidR="007774F9">
          <w:rPr>
            <w:noProof/>
            <w:webHidden/>
          </w:rPr>
          <w:tab/>
        </w:r>
        <w:r w:rsidR="007774F9">
          <w:rPr>
            <w:noProof/>
            <w:webHidden/>
          </w:rPr>
          <w:fldChar w:fldCharType="begin"/>
        </w:r>
        <w:r w:rsidR="007774F9">
          <w:rPr>
            <w:noProof/>
            <w:webHidden/>
          </w:rPr>
          <w:instrText xml:space="preserve"> PAGEREF _Toc34736252 \h </w:instrText>
        </w:r>
        <w:r w:rsidR="007774F9">
          <w:rPr>
            <w:noProof/>
            <w:webHidden/>
          </w:rPr>
        </w:r>
        <w:r w:rsidR="007774F9">
          <w:rPr>
            <w:noProof/>
            <w:webHidden/>
          </w:rPr>
          <w:fldChar w:fldCharType="separate"/>
        </w:r>
        <w:r>
          <w:rPr>
            <w:noProof/>
            <w:webHidden/>
          </w:rPr>
          <w:t>12</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3" w:history="1">
        <w:r w:rsidR="007774F9" w:rsidRPr="00410206">
          <w:rPr>
            <w:rStyle w:val="Hyperlink"/>
            <w:noProof/>
          </w:rPr>
          <w:t>Figure 4 Total water demand across the sMDB, by scenario</w:t>
        </w:r>
        <w:r w:rsidR="007774F9">
          <w:rPr>
            <w:noProof/>
            <w:webHidden/>
          </w:rPr>
          <w:tab/>
        </w:r>
        <w:r w:rsidR="007774F9">
          <w:rPr>
            <w:noProof/>
            <w:webHidden/>
          </w:rPr>
          <w:fldChar w:fldCharType="begin"/>
        </w:r>
        <w:r w:rsidR="007774F9">
          <w:rPr>
            <w:noProof/>
            <w:webHidden/>
          </w:rPr>
          <w:instrText xml:space="preserve"> PAGEREF _Toc34736253 \h </w:instrText>
        </w:r>
        <w:r w:rsidR="007774F9">
          <w:rPr>
            <w:noProof/>
            <w:webHidden/>
          </w:rPr>
        </w:r>
        <w:r w:rsidR="007774F9">
          <w:rPr>
            <w:noProof/>
            <w:webHidden/>
          </w:rPr>
          <w:fldChar w:fldCharType="separate"/>
        </w:r>
        <w:r>
          <w:rPr>
            <w:noProof/>
            <w:webHidden/>
          </w:rPr>
          <w:t>13</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4" w:history="1">
        <w:r w:rsidR="007774F9" w:rsidRPr="00410206">
          <w:rPr>
            <w:rStyle w:val="Hyperlink"/>
            <w:noProof/>
          </w:rPr>
          <w:t>Figure 5 Weighted water allocation price by scenario, southern Murray-Darling Basin</w:t>
        </w:r>
        <w:r w:rsidR="007774F9">
          <w:rPr>
            <w:noProof/>
            <w:webHidden/>
          </w:rPr>
          <w:tab/>
        </w:r>
        <w:r w:rsidR="007774F9">
          <w:rPr>
            <w:noProof/>
            <w:webHidden/>
          </w:rPr>
          <w:fldChar w:fldCharType="begin"/>
        </w:r>
        <w:r w:rsidR="007774F9">
          <w:rPr>
            <w:noProof/>
            <w:webHidden/>
          </w:rPr>
          <w:instrText xml:space="preserve"> PAGEREF _Toc34736254 \h </w:instrText>
        </w:r>
        <w:r w:rsidR="007774F9">
          <w:rPr>
            <w:noProof/>
            <w:webHidden/>
          </w:rPr>
        </w:r>
        <w:r w:rsidR="007774F9">
          <w:rPr>
            <w:noProof/>
            <w:webHidden/>
          </w:rPr>
          <w:fldChar w:fldCharType="separate"/>
        </w:r>
        <w:r>
          <w:rPr>
            <w:noProof/>
            <w:webHidden/>
          </w:rPr>
          <w:t>14</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5" w:history="1">
        <w:r w:rsidR="007774F9" w:rsidRPr="00410206">
          <w:rPr>
            <w:rStyle w:val="Hyperlink"/>
            <w:noProof/>
          </w:rPr>
          <w:t>Figure 6 Average water use by scenario, southern Murray-Darling Basin</w:t>
        </w:r>
        <w:r w:rsidR="007774F9">
          <w:rPr>
            <w:noProof/>
            <w:webHidden/>
          </w:rPr>
          <w:tab/>
        </w:r>
        <w:r w:rsidR="007774F9">
          <w:rPr>
            <w:noProof/>
            <w:webHidden/>
          </w:rPr>
          <w:fldChar w:fldCharType="begin"/>
        </w:r>
        <w:r w:rsidR="007774F9">
          <w:rPr>
            <w:noProof/>
            <w:webHidden/>
          </w:rPr>
          <w:instrText xml:space="preserve"> PAGEREF _Toc34736255 \h </w:instrText>
        </w:r>
        <w:r w:rsidR="007774F9">
          <w:rPr>
            <w:noProof/>
            <w:webHidden/>
          </w:rPr>
        </w:r>
        <w:r w:rsidR="007774F9">
          <w:rPr>
            <w:noProof/>
            <w:webHidden/>
          </w:rPr>
          <w:fldChar w:fldCharType="separate"/>
        </w:r>
        <w:r>
          <w:rPr>
            <w:noProof/>
            <w:webHidden/>
          </w:rPr>
          <w:t>15</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6" w:history="1">
        <w:r w:rsidR="007774F9" w:rsidRPr="00410206">
          <w:rPr>
            <w:rStyle w:val="Hyperlink"/>
            <w:noProof/>
          </w:rPr>
          <w:t>Figure 7 Dairy water use in wet, average, and dry years, by scenario</w:t>
        </w:r>
        <w:r w:rsidR="007774F9">
          <w:rPr>
            <w:noProof/>
            <w:webHidden/>
          </w:rPr>
          <w:tab/>
        </w:r>
        <w:r w:rsidR="007774F9">
          <w:rPr>
            <w:noProof/>
            <w:webHidden/>
          </w:rPr>
          <w:fldChar w:fldCharType="begin"/>
        </w:r>
        <w:r w:rsidR="007774F9">
          <w:rPr>
            <w:noProof/>
            <w:webHidden/>
          </w:rPr>
          <w:instrText xml:space="preserve"> PAGEREF _Toc34736256 \h </w:instrText>
        </w:r>
        <w:r w:rsidR="007774F9">
          <w:rPr>
            <w:noProof/>
            <w:webHidden/>
          </w:rPr>
        </w:r>
        <w:r w:rsidR="007774F9">
          <w:rPr>
            <w:noProof/>
            <w:webHidden/>
          </w:rPr>
          <w:fldChar w:fldCharType="separate"/>
        </w:r>
        <w:r>
          <w:rPr>
            <w:noProof/>
            <w:webHidden/>
          </w:rPr>
          <w:t>16</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7" w:history="1">
        <w:r w:rsidR="007774F9" w:rsidRPr="00410206">
          <w:rPr>
            <w:rStyle w:val="Hyperlink"/>
            <w:noProof/>
          </w:rPr>
          <w:t>Figure 8 Percentage change in dairy water use, for different seasonal conditions</w:t>
        </w:r>
        <w:r w:rsidR="007774F9">
          <w:rPr>
            <w:noProof/>
            <w:webHidden/>
          </w:rPr>
          <w:tab/>
        </w:r>
        <w:r w:rsidR="007774F9">
          <w:rPr>
            <w:noProof/>
            <w:webHidden/>
          </w:rPr>
          <w:fldChar w:fldCharType="begin"/>
        </w:r>
        <w:r w:rsidR="007774F9">
          <w:rPr>
            <w:noProof/>
            <w:webHidden/>
          </w:rPr>
          <w:instrText xml:space="preserve"> PAGEREF _Toc34736257 \h </w:instrText>
        </w:r>
        <w:r w:rsidR="007774F9">
          <w:rPr>
            <w:noProof/>
            <w:webHidden/>
          </w:rPr>
        </w:r>
        <w:r w:rsidR="007774F9">
          <w:rPr>
            <w:noProof/>
            <w:webHidden/>
          </w:rPr>
          <w:fldChar w:fldCharType="separate"/>
        </w:r>
        <w:r>
          <w:rPr>
            <w:noProof/>
            <w:webHidden/>
          </w:rPr>
          <w:t>16</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8" w:history="1">
        <w:r w:rsidR="007774F9" w:rsidRPr="00410206">
          <w:rPr>
            <w:rStyle w:val="Hyperlink"/>
            <w:noProof/>
          </w:rPr>
          <w:t>Figure 9 Average net trade by scenario and trading zone</w:t>
        </w:r>
        <w:r w:rsidR="007774F9">
          <w:rPr>
            <w:noProof/>
            <w:webHidden/>
          </w:rPr>
          <w:tab/>
        </w:r>
        <w:r w:rsidR="007774F9">
          <w:rPr>
            <w:noProof/>
            <w:webHidden/>
          </w:rPr>
          <w:fldChar w:fldCharType="begin"/>
        </w:r>
        <w:r w:rsidR="007774F9">
          <w:rPr>
            <w:noProof/>
            <w:webHidden/>
          </w:rPr>
          <w:instrText xml:space="preserve"> PAGEREF _Toc34736258 \h </w:instrText>
        </w:r>
        <w:r w:rsidR="007774F9">
          <w:rPr>
            <w:noProof/>
            <w:webHidden/>
          </w:rPr>
        </w:r>
        <w:r w:rsidR="007774F9">
          <w:rPr>
            <w:noProof/>
            <w:webHidden/>
          </w:rPr>
          <w:fldChar w:fldCharType="separate"/>
        </w:r>
        <w:r>
          <w:rPr>
            <w:noProof/>
            <w:webHidden/>
          </w:rPr>
          <w:t>17</w:t>
        </w:r>
        <w:r w:rsidR="007774F9">
          <w:rPr>
            <w:noProof/>
            <w:webHidden/>
          </w:rPr>
          <w:fldChar w:fldCharType="end"/>
        </w:r>
      </w:hyperlink>
    </w:p>
    <w:p w:rsidR="007774F9" w:rsidRDefault="004D407F">
      <w:pPr>
        <w:pStyle w:val="TableofFigures"/>
        <w:tabs>
          <w:tab w:val="right" w:leader="dot" w:pos="9060"/>
        </w:tabs>
        <w:rPr>
          <w:rFonts w:asciiTheme="minorHAnsi" w:eastAsiaTheme="minorEastAsia" w:hAnsiTheme="minorHAnsi"/>
          <w:noProof/>
          <w:lang w:eastAsia="en-AU"/>
        </w:rPr>
      </w:pPr>
      <w:hyperlink w:anchor="_Toc34736259" w:history="1">
        <w:r w:rsidR="007774F9" w:rsidRPr="00410206">
          <w:rPr>
            <w:rStyle w:val="Hyperlink"/>
            <w:noProof/>
          </w:rPr>
          <w:t>Figure 10 Price gaps between the Barmah Below and Murrumbidgee trading zones</w:t>
        </w:r>
        <w:r w:rsidR="007774F9">
          <w:rPr>
            <w:noProof/>
            <w:webHidden/>
          </w:rPr>
          <w:tab/>
        </w:r>
        <w:r w:rsidR="007774F9">
          <w:rPr>
            <w:noProof/>
            <w:webHidden/>
          </w:rPr>
          <w:fldChar w:fldCharType="begin"/>
        </w:r>
        <w:r w:rsidR="007774F9">
          <w:rPr>
            <w:noProof/>
            <w:webHidden/>
          </w:rPr>
          <w:instrText xml:space="preserve"> PAGEREF _Toc34736259 \h </w:instrText>
        </w:r>
        <w:r w:rsidR="007774F9">
          <w:rPr>
            <w:noProof/>
            <w:webHidden/>
          </w:rPr>
        </w:r>
        <w:r w:rsidR="007774F9">
          <w:rPr>
            <w:noProof/>
            <w:webHidden/>
          </w:rPr>
          <w:fldChar w:fldCharType="separate"/>
        </w:r>
        <w:r>
          <w:rPr>
            <w:noProof/>
            <w:webHidden/>
          </w:rPr>
          <w:t>18</w:t>
        </w:r>
        <w:r w:rsidR="007774F9">
          <w:rPr>
            <w:noProof/>
            <w:webHidden/>
          </w:rPr>
          <w:fldChar w:fldCharType="end"/>
        </w:r>
      </w:hyperlink>
    </w:p>
    <w:p w:rsidR="001A0266" w:rsidRDefault="00533D56">
      <w:r>
        <w:fldChar w:fldCharType="end"/>
      </w:r>
    </w:p>
    <w:p w:rsidR="00AE5577" w:rsidRDefault="00AE5577" w:rsidP="00AE5577">
      <w:pPr>
        <w:pStyle w:val="TOCHeading2"/>
        <w:rPr>
          <w:rStyle w:val="Strong"/>
        </w:rPr>
      </w:pPr>
      <w:r>
        <w:rPr>
          <w:rStyle w:val="Strong"/>
        </w:rPr>
        <w:t>Boxes</w:t>
      </w:r>
    </w:p>
    <w:p w:rsidR="00325924" w:rsidRDefault="00AE5577">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34735580" w:history="1">
        <w:r w:rsidR="00325924" w:rsidRPr="007C295F">
          <w:rPr>
            <w:rStyle w:val="Hyperlink"/>
            <w:noProof/>
          </w:rPr>
          <w:t>Box 1 Variation in water use is particularly pronounced in traditional irrigation sectors</w:t>
        </w:r>
        <w:r w:rsidR="00325924">
          <w:rPr>
            <w:noProof/>
            <w:webHidden/>
          </w:rPr>
          <w:tab/>
        </w:r>
        <w:r w:rsidR="00325924">
          <w:rPr>
            <w:noProof/>
            <w:webHidden/>
          </w:rPr>
          <w:fldChar w:fldCharType="begin"/>
        </w:r>
        <w:r w:rsidR="00325924">
          <w:rPr>
            <w:noProof/>
            <w:webHidden/>
          </w:rPr>
          <w:instrText xml:space="preserve"> PAGEREF _Toc34735580 \h </w:instrText>
        </w:r>
        <w:r w:rsidR="00325924">
          <w:rPr>
            <w:noProof/>
            <w:webHidden/>
          </w:rPr>
        </w:r>
        <w:r w:rsidR="00325924">
          <w:rPr>
            <w:noProof/>
            <w:webHidden/>
          </w:rPr>
          <w:fldChar w:fldCharType="separate"/>
        </w:r>
        <w:r w:rsidR="004D407F">
          <w:rPr>
            <w:noProof/>
            <w:webHidden/>
          </w:rPr>
          <w:t>15</w:t>
        </w:r>
        <w:r w:rsidR="00325924">
          <w:rPr>
            <w:noProof/>
            <w:webHidden/>
          </w:rPr>
          <w:fldChar w:fldCharType="end"/>
        </w:r>
      </w:hyperlink>
    </w:p>
    <w:p w:rsidR="00AE5577" w:rsidRDefault="00AE5577" w:rsidP="00AE5577">
      <w:r>
        <w:fldChar w:fldCharType="end"/>
      </w:r>
    </w:p>
    <w:p w:rsidR="001A0266" w:rsidRDefault="00533D56">
      <w:pPr>
        <w:pStyle w:val="Heading2"/>
        <w:numPr>
          <w:ilvl w:val="0"/>
          <w:numId w:val="0"/>
        </w:numPr>
        <w:ind w:left="709" w:hanging="709"/>
      </w:pPr>
      <w:bookmarkStart w:id="0" w:name="_Toc430782149"/>
      <w:bookmarkStart w:id="1" w:name="_Toc34735522"/>
      <w:r>
        <w:lastRenderedPageBreak/>
        <w:t>Summary</w:t>
      </w:r>
      <w:bookmarkEnd w:id="0"/>
      <w:bookmarkEnd w:id="1"/>
    </w:p>
    <w:p w:rsidR="001A0266" w:rsidRDefault="007253B5">
      <w:r w:rsidRPr="007253B5">
        <w:t xml:space="preserve">This report presents recent economic modelling undertaken by ABARES to support the </w:t>
      </w:r>
      <w:hyperlink r:id="rId17" w:history="1">
        <w:r w:rsidRPr="007253B5">
          <w:rPr>
            <w:rStyle w:val="Hyperlink"/>
          </w:rPr>
          <w:t>Independent Assessment of Social and Economic Conditions in the Basin</w:t>
        </w:r>
      </w:hyperlink>
      <w:r w:rsidRPr="007253B5">
        <w:t>. In particular, this report presents a series of forward looking scenarios for the southern Murray-Darling Basin water market, examining potential future water prices, trade flows and irrigation sector outcomes, taking into account recent and expected trends for water supply and demand. These results are generated using the ABARES Water Trade Model: a data-driven economic model of the southern Mur</w:t>
      </w:r>
      <w:r w:rsidR="00703623">
        <w:t>ray-Darling Basin water market.</w:t>
      </w:r>
    </w:p>
    <w:p w:rsidR="007253B5" w:rsidRDefault="007253B5" w:rsidP="007253B5">
      <w:pPr>
        <w:pStyle w:val="Heading3"/>
        <w:numPr>
          <w:ilvl w:val="0"/>
          <w:numId w:val="0"/>
        </w:numPr>
        <w:ind w:left="964" w:hanging="964"/>
      </w:pPr>
      <w:bookmarkStart w:id="2" w:name="_Toc34735523"/>
      <w:r>
        <w:t>The scenarios</w:t>
      </w:r>
      <w:bookmarkEnd w:id="2"/>
    </w:p>
    <w:p w:rsidR="007253B5" w:rsidRDefault="007253B5" w:rsidP="007253B5">
      <w:pPr>
        <w:rPr>
          <w:lang w:eastAsia="ja-JP"/>
        </w:rPr>
      </w:pPr>
      <w:r>
        <w:rPr>
          <w:lang w:eastAsia="ja-JP"/>
        </w:rPr>
        <w:t>Three scenarios are considered:</w:t>
      </w:r>
    </w:p>
    <w:tbl>
      <w:tblPr>
        <w:tblW w:w="5000" w:type="pct"/>
        <w:tblLook w:val="04A0" w:firstRow="1" w:lastRow="0" w:firstColumn="1" w:lastColumn="0" w:noHBand="0" w:noVBand="1"/>
      </w:tblPr>
      <w:tblGrid>
        <w:gridCol w:w="1139"/>
        <w:gridCol w:w="7931"/>
      </w:tblGrid>
      <w:tr w:rsidR="007253B5" w:rsidRPr="0080396A" w:rsidTr="007253B5">
        <w:trPr>
          <w:trHeight w:val="300"/>
        </w:trPr>
        <w:tc>
          <w:tcPr>
            <w:tcW w:w="1407" w:type="pct"/>
            <w:tcBorders>
              <w:top w:val="single" w:sz="4" w:space="0" w:color="auto"/>
              <w:left w:val="nil"/>
              <w:bottom w:val="nil"/>
              <w:right w:val="nil"/>
            </w:tcBorders>
            <w:shd w:val="clear" w:color="auto" w:fill="auto"/>
            <w:noWrap/>
            <w:vAlign w:val="center"/>
            <w:hideMark/>
          </w:tcPr>
          <w:p w:rsidR="007253B5" w:rsidRPr="0080396A" w:rsidRDefault="007253B5" w:rsidP="007253B5">
            <w:pPr>
              <w:pStyle w:val="TableText"/>
              <w:rPr>
                <w:sz w:val="22"/>
              </w:rPr>
            </w:pPr>
            <w:r w:rsidRPr="0080396A">
              <w:rPr>
                <w:sz w:val="22"/>
              </w:rPr>
              <w:t>Current market</w:t>
            </w:r>
          </w:p>
        </w:tc>
        <w:tc>
          <w:tcPr>
            <w:tcW w:w="3593" w:type="pct"/>
            <w:tcBorders>
              <w:top w:val="single" w:sz="4" w:space="0" w:color="auto"/>
              <w:left w:val="nil"/>
              <w:bottom w:val="nil"/>
              <w:right w:val="nil"/>
            </w:tcBorders>
            <w:shd w:val="clear" w:color="auto" w:fill="auto"/>
            <w:noWrap/>
            <w:vAlign w:val="center"/>
            <w:hideMark/>
          </w:tcPr>
          <w:p w:rsidR="007253B5" w:rsidRPr="0080396A" w:rsidRDefault="007253B5" w:rsidP="007253B5">
            <w:pPr>
              <w:pStyle w:val="TableText"/>
              <w:rPr>
                <w:sz w:val="22"/>
              </w:rPr>
            </w:pPr>
            <w:r>
              <w:rPr>
                <w:sz w:val="22"/>
              </w:rPr>
              <w:t xml:space="preserve">Current irrigation development (horticultural plantings), current water recovery under the Basin Plan, current trade rules and commodity prices. </w:t>
            </w:r>
          </w:p>
        </w:tc>
      </w:tr>
      <w:tr w:rsidR="007253B5" w:rsidRPr="0080396A" w:rsidTr="007253B5">
        <w:trPr>
          <w:trHeight w:val="300"/>
        </w:trPr>
        <w:tc>
          <w:tcPr>
            <w:tcW w:w="1407" w:type="pct"/>
            <w:tcBorders>
              <w:top w:val="nil"/>
              <w:left w:val="nil"/>
              <w:bottom w:val="nil"/>
              <w:right w:val="nil"/>
            </w:tcBorders>
            <w:shd w:val="clear" w:color="auto" w:fill="auto"/>
            <w:noWrap/>
            <w:vAlign w:val="center"/>
            <w:hideMark/>
          </w:tcPr>
          <w:p w:rsidR="007253B5" w:rsidRPr="0080396A" w:rsidRDefault="007253B5" w:rsidP="007253B5">
            <w:pPr>
              <w:pStyle w:val="TableText"/>
              <w:rPr>
                <w:sz w:val="22"/>
              </w:rPr>
            </w:pPr>
            <w:r w:rsidRPr="0080396A">
              <w:rPr>
                <w:sz w:val="22"/>
              </w:rPr>
              <w:t>Future market</w:t>
            </w:r>
          </w:p>
        </w:tc>
        <w:tc>
          <w:tcPr>
            <w:tcW w:w="3593" w:type="pct"/>
            <w:tcBorders>
              <w:top w:val="nil"/>
              <w:left w:val="nil"/>
              <w:bottom w:val="nil"/>
              <w:right w:val="nil"/>
            </w:tcBorders>
            <w:shd w:val="clear" w:color="auto" w:fill="auto"/>
            <w:noWrap/>
            <w:vAlign w:val="center"/>
          </w:tcPr>
          <w:p w:rsidR="007253B5" w:rsidRPr="0080396A" w:rsidRDefault="007253B5" w:rsidP="007253B5">
            <w:pPr>
              <w:pStyle w:val="TableText"/>
              <w:rPr>
                <w:sz w:val="22"/>
              </w:rPr>
            </w:pPr>
            <w:r>
              <w:rPr>
                <w:sz w:val="22"/>
              </w:rPr>
              <w:t>Full maturity of recently established almond plantings, and future water recovery to meet Basin Plan requirements (3,200 GL target) via on-farm infrastructure upgrades.</w:t>
            </w:r>
          </w:p>
        </w:tc>
      </w:tr>
      <w:tr w:rsidR="007253B5" w:rsidRPr="0080396A" w:rsidTr="007253B5">
        <w:trPr>
          <w:trHeight w:val="300"/>
        </w:trPr>
        <w:tc>
          <w:tcPr>
            <w:tcW w:w="1407" w:type="pct"/>
            <w:tcBorders>
              <w:top w:val="nil"/>
              <w:left w:val="nil"/>
              <w:bottom w:val="single" w:sz="4" w:space="0" w:color="auto"/>
              <w:right w:val="nil"/>
            </w:tcBorders>
            <w:shd w:val="clear" w:color="auto" w:fill="auto"/>
            <w:noWrap/>
            <w:vAlign w:val="center"/>
          </w:tcPr>
          <w:p w:rsidR="007253B5" w:rsidRPr="0080396A" w:rsidRDefault="007253B5" w:rsidP="007253B5">
            <w:pPr>
              <w:pStyle w:val="TableText"/>
              <w:rPr>
                <w:sz w:val="22"/>
              </w:rPr>
            </w:pPr>
            <w:r w:rsidRPr="0080396A">
              <w:rPr>
                <w:sz w:val="22"/>
              </w:rPr>
              <w:t>Future market</w:t>
            </w:r>
            <w:r>
              <w:rPr>
                <w:sz w:val="22"/>
              </w:rPr>
              <w:t xml:space="preserve"> (dry)</w:t>
            </w:r>
          </w:p>
        </w:tc>
        <w:tc>
          <w:tcPr>
            <w:tcW w:w="3593" w:type="pct"/>
            <w:tcBorders>
              <w:top w:val="nil"/>
              <w:left w:val="nil"/>
              <w:bottom w:val="single" w:sz="4" w:space="0" w:color="auto"/>
              <w:right w:val="nil"/>
            </w:tcBorders>
            <w:shd w:val="clear" w:color="auto" w:fill="auto"/>
            <w:noWrap/>
            <w:vAlign w:val="center"/>
          </w:tcPr>
          <w:p w:rsidR="007253B5" w:rsidRPr="0080396A" w:rsidRDefault="007253B5" w:rsidP="00703623">
            <w:pPr>
              <w:pStyle w:val="TableText"/>
              <w:rPr>
                <w:sz w:val="22"/>
              </w:rPr>
            </w:pPr>
            <w:r>
              <w:rPr>
                <w:sz w:val="22"/>
              </w:rPr>
              <w:t>As above, but with an 11 per cent reduction in water supply and a 3 per cent reduction in rainfall.</w:t>
            </w:r>
          </w:p>
        </w:tc>
      </w:tr>
    </w:tbl>
    <w:p w:rsidR="007253B5" w:rsidRDefault="007253B5" w:rsidP="007253B5">
      <w:pPr>
        <w:rPr>
          <w:lang w:eastAsia="ja-JP"/>
        </w:rPr>
      </w:pPr>
      <w:r>
        <w:rPr>
          <w:lang w:eastAsia="ja-JP"/>
        </w:rPr>
        <w:br/>
        <w:t>For each scenario, a range of water supply conditions are simulated (based on the historical climate sequence 2005-06 to 2018-19) to provide a picture of potential water market and irrigation outcomes across representative ‘dry’, ‘average’ and ‘wet’ years.</w:t>
      </w:r>
    </w:p>
    <w:p w:rsidR="007253B5" w:rsidRDefault="007253B5" w:rsidP="007253B5">
      <w:pPr>
        <w:rPr>
          <w:lang w:eastAsia="ja-JP"/>
        </w:rPr>
      </w:pPr>
      <w:r>
        <w:rPr>
          <w:lang w:eastAsia="ja-JP"/>
        </w:rPr>
        <w:t>There are two key caveats to these scenarios. Firstly, the climate sequence used (2006 to 2019) is particularly dry in the context of the longer historical record and may differ from average future climate conditions. Secondly, these scenarios are based on current farms using current capital and technology, and do not allow for long-term adaptation (innovation / technological change) or structural adjustment (changes in capital investment).</w:t>
      </w:r>
    </w:p>
    <w:p w:rsidR="007253B5" w:rsidRDefault="007253B5" w:rsidP="007253B5">
      <w:pPr>
        <w:pStyle w:val="Heading3"/>
        <w:numPr>
          <w:ilvl w:val="0"/>
          <w:numId w:val="0"/>
        </w:numPr>
        <w:ind w:left="964" w:hanging="964"/>
      </w:pPr>
      <w:bookmarkStart w:id="3" w:name="_Toc34735524"/>
      <w:r>
        <w:t>Key findings</w:t>
      </w:r>
      <w:bookmarkEnd w:id="3"/>
    </w:p>
    <w:p w:rsidR="007253B5" w:rsidRDefault="007253B5" w:rsidP="007253B5">
      <w:pPr>
        <w:pStyle w:val="ListBullet"/>
        <w:rPr>
          <w:lang w:eastAsia="ja-JP"/>
        </w:rPr>
      </w:pPr>
      <w:r w:rsidRPr="0080396A">
        <w:rPr>
          <w:i/>
          <w:lang w:eastAsia="ja-JP"/>
        </w:rPr>
        <w:t>Higher water prices</w:t>
      </w:r>
      <w:r>
        <w:rPr>
          <w:lang w:eastAsia="ja-JP"/>
        </w:rPr>
        <w:t xml:space="preserve">: </w:t>
      </w:r>
      <w:r w:rsidRPr="0047456E">
        <w:rPr>
          <w:lang w:eastAsia="ja-JP"/>
        </w:rPr>
        <w:t>a significant increase in average water allocation market prices is estimated across the southern Murray Darling Basin. Compared to the current market scenario, allocation prices are estimated to be 28 per cent higher in the future market scenario and 50 per cent higher in the future market (dry) scenario. In the future market scenario prices are estimated to remain above $200 per ML in 8 out of 10 years. While water prices in 2018–19 (around $445 per ML) would be considered high relative to historically observed prices, the same price would be considered an average price in the future, occurring much more frequently.</w:t>
      </w:r>
      <w:r>
        <w:rPr>
          <w:lang w:eastAsia="ja-JP"/>
        </w:rPr>
        <w:t xml:space="preserve"> Larger price increases are modelled in dry years under both the future market (up to $116/ML higher) and future market (dry) (up to $192/ML higher) scenarios.</w:t>
      </w:r>
    </w:p>
    <w:p w:rsidR="007253B5" w:rsidRDefault="007253B5" w:rsidP="007253B5">
      <w:pPr>
        <w:pStyle w:val="ListBullet"/>
        <w:rPr>
          <w:lang w:eastAsia="ja-JP"/>
        </w:rPr>
      </w:pPr>
      <w:r w:rsidRPr="0080396A">
        <w:rPr>
          <w:i/>
          <w:lang w:eastAsia="ja-JP"/>
        </w:rPr>
        <w:t>Inter-regional trade limits having a larger effect</w:t>
      </w:r>
      <w:r>
        <w:rPr>
          <w:lang w:eastAsia="ja-JP"/>
        </w:rPr>
        <w:t xml:space="preserve">: growth in water demand in the lower Murray due to maturing Almonds trees (particularly in NSW and SA Murray), leads to </w:t>
      </w:r>
      <w:r>
        <w:rPr>
          <w:lang w:eastAsia="ja-JP"/>
        </w:rPr>
        <w:lastRenderedPageBreak/>
        <w:t>greater pressure for inter-regional water trade, more frequently binding trade limits and large differences in prices between regions. Particularly in dry years, trade limits lead to significantly higher prices in the Murray below Barmah region (between $955/ML and $1075/ML) compared to the Murrumbidgee (between $665/ML and $712/ML).</w:t>
      </w:r>
    </w:p>
    <w:p w:rsidR="007253B5" w:rsidRDefault="007253B5" w:rsidP="007253B5">
      <w:pPr>
        <w:pStyle w:val="ListBullet"/>
        <w:rPr>
          <w:lang w:eastAsia="ja-JP"/>
        </w:rPr>
      </w:pPr>
      <w:r>
        <w:rPr>
          <w:i/>
          <w:lang w:eastAsia="ja-JP"/>
        </w:rPr>
        <w:t>Just enough</w:t>
      </w:r>
      <w:r w:rsidRPr="00704072">
        <w:rPr>
          <w:i/>
          <w:lang w:eastAsia="ja-JP"/>
        </w:rPr>
        <w:t xml:space="preserve"> water to maintain horticultural plantings in dry years</w:t>
      </w:r>
      <w:r>
        <w:rPr>
          <w:lang w:eastAsia="ja-JP"/>
        </w:rPr>
        <w:t xml:space="preserve">: </w:t>
      </w:r>
      <w:r w:rsidR="00775F64">
        <w:rPr>
          <w:lang w:eastAsia="ja-JP"/>
        </w:rPr>
        <w:t>While</w:t>
      </w:r>
      <w:r>
        <w:rPr>
          <w:lang w:eastAsia="ja-JP"/>
        </w:rPr>
        <w:t xml:space="preserve"> water supply (including both surface water and other sources such as groundwater) is sufficient to meet </w:t>
      </w:r>
      <w:r w:rsidR="00775F64">
        <w:rPr>
          <w:lang w:eastAsia="ja-JP"/>
        </w:rPr>
        <w:t xml:space="preserve">estimated </w:t>
      </w:r>
      <w:r>
        <w:rPr>
          <w:lang w:eastAsia="ja-JP"/>
        </w:rPr>
        <w:t xml:space="preserve">demand from horticultural plantings (fruits, nuts and grapevines) </w:t>
      </w:r>
      <w:r w:rsidR="00703623">
        <w:rPr>
          <w:lang w:eastAsia="ja-JP"/>
        </w:rPr>
        <w:t>in all scenarios, in practic</w:t>
      </w:r>
      <w:r w:rsidR="00775F64">
        <w:rPr>
          <w:lang w:eastAsia="ja-JP"/>
        </w:rPr>
        <w:t xml:space="preserve">e </w:t>
      </w:r>
      <w:r w:rsidR="00912191">
        <w:rPr>
          <w:lang w:eastAsia="ja-JP"/>
        </w:rPr>
        <w:t>there remains some risk of supply shortfalls within each water year, particularly if future conditions are drier than modelled or trade constraints are tightened</w:t>
      </w:r>
      <w:r>
        <w:rPr>
          <w:lang w:eastAsia="ja-JP"/>
        </w:rPr>
        <w:t xml:space="preserve">. Horticultural plantings are estimated to use around 1276 GL on average </w:t>
      </w:r>
      <w:r w:rsidR="008C3D24">
        <w:rPr>
          <w:lang w:eastAsia="ja-JP"/>
        </w:rPr>
        <w:t xml:space="preserve">each year </w:t>
      </w:r>
      <w:r>
        <w:rPr>
          <w:lang w:eastAsia="ja-JP"/>
        </w:rPr>
        <w:t xml:space="preserve">in the ‘future scenarios’. </w:t>
      </w:r>
    </w:p>
    <w:p w:rsidR="007253B5" w:rsidRDefault="007253B5" w:rsidP="007253B5">
      <w:pPr>
        <w:pStyle w:val="ListBullet"/>
      </w:pPr>
      <w:r w:rsidRPr="007253B5">
        <w:rPr>
          <w:i/>
          <w:lang w:eastAsia="ja-JP"/>
        </w:rPr>
        <w:t>Reductions in water use in some traditional irrigation sectors and regions</w:t>
      </w:r>
      <w:r>
        <w:rPr>
          <w:lang w:eastAsia="ja-JP"/>
        </w:rPr>
        <w:t>: water use in the dairy and rice sectors is modelled to decrease on average by 14 per cent and 15 per cent respectively in the future market scenario (relative to the current market scenario). In dry years, more significant decreases are predicted for these sectors in order to meet horticultural water demand, with dairy and rice decreasing by up to 55 per cent and 32 per cent respectively. Average water use declines by around 18% in the Goulburn-Broken region and around 7% in the Murrumbidgee in the future market scenario.</w:t>
      </w:r>
    </w:p>
    <w:p w:rsidR="007253B5" w:rsidRDefault="007253B5" w:rsidP="00912191">
      <w:pPr>
        <w:pStyle w:val="ListBullet"/>
      </w:pPr>
      <w:r w:rsidRPr="007253B5">
        <w:rPr>
          <w:i/>
          <w:lang w:eastAsia="ja-JP"/>
        </w:rPr>
        <w:t>Decrease in GVIAP for traditional irrigation sectors</w:t>
      </w:r>
      <w:r w:rsidRPr="000B22F0">
        <w:rPr>
          <w:lang w:eastAsia="ja-JP"/>
        </w:rPr>
        <w:t>:</w:t>
      </w:r>
      <w:r>
        <w:rPr>
          <w:lang w:eastAsia="ja-JP"/>
        </w:rPr>
        <w:t xml:space="preserve"> gross value of irrigated agricultural production (GVIAP) is modelled to decrease for the dairy and rice sectors </w:t>
      </w:r>
      <w:r w:rsidR="008C3D24">
        <w:rPr>
          <w:lang w:eastAsia="ja-JP"/>
        </w:rPr>
        <w:t xml:space="preserve">on average </w:t>
      </w:r>
      <w:r>
        <w:rPr>
          <w:lang w:eastAsia="ja-JP"/>
        </w:rPr>
        <w:t xml:space="preserve">by 9 per cent and 13 per cent respectively in the future market scenario (relative to the current market scenario). In contrast, existing almond plantings, assumed to be fully mature in the future, drive a substantial increase in production and gross value (around 23 per cent for both) for the almond sector. The decrease in other sectors is partially offset by an increase in farm productivity, through on-farm infrastructure upgrades. The dairy sector is also able to reduce the effect of high water prices by substituting water for fodder. Overall, the total GVIAP across all sectors is modelled to increase </w:t>
      </w:r>
      <w:r w:rsidR="008C3D24">
        <w:rPr>
          <w:lang w:eastAsia="ja-JP"/>
        </w:rPr>
        <w:t xml:space="preserve">on average </w:t>
      </w:r>
      <w:r>
        <w:rPr>
          <w:lang w:eastAsia="ja-JP"/>
        </w:rPr>
        <w:t>by 0.8 per cent in the future market scenario and decrease by 4.1 per cent in the future market (dry) scenario.</w:t>
      </w:r>
    </w:p>
    <w:p w:rsidR="007774F9" w:rsidRDefault="007774F9" w:rsidP="007774F9">
      <w:pPr>
        <w:pStyle w:val="ListBullet"/>
        <w:numPr>
          <w:ilvl w:val="0"/>
          <w:numId w:val="0"/>
        </w:numPr>
      </w:pPr>
    </w:p>
    <w:p w:rsidR="007774F9" w:rsidRDefault="007774F9" w:rsidP="007774F9">
      <w:pPr>
        <w:pStyle w:val="Caption"/>
      </w:pPr>
      <w:bookmarkStart w:id="4" w:name="_Toc34736249"/>
      <w:r>
        <w:t>Figure S</w:t>
      </w:r>
      <w:r>
        <w:rPr>
          <w:noProof/>
        </w:rPr>
        <w:fldChar w:fldCharType="begin"/>
      </w:r>
      <w:r>
        <w:rPr>
          <w:noProof/>
        </w:rPr>
        <w:instrText xml:space="preserve"> SEQ Figure \* ARABIC \r1 </w:instrText>
      </w:r>
      <w:r>
        <w:rPr>
          <w:noProof/>
        </w:rPr>
        <w:fldChar w:fldCharType="separate"/>
      </w:r>
      <w:r w:rsidR="004D407F">
        <w:rPr>
          <w:noProof/>
        </w:rPr>
        <w:t>1</w:t>
      </w:r>
      <w:r>
        <w:rPr>
          <w:noProof/>
        </w:rPr>
        <w:fldChar w:fldCharType="end"/>
      </w:r>
      <w:r>
        <w:t xml:space="preserve"> Weighted water allocation price by scenario, southern Murray-Darling Basin</w:t>
      </w:r>
      <w:bookmarkEnd w:id="4"/>
    </w:p>
    <w:p w:rsidR="007774F9" w:rsidRPr="007774F9" w:rsidRDefault="007774F9" w:rsidP="007774F9">
      <w:r>
        <w:rPr>
          <w:noProof/>
          <w:lang w:eastAsia="en-AU"/>
        </w:rPr>
        <w:drawing>
          <wp:inline distT="0" distB="0" distL="0" distR="0" wp14:anchorId="3589E416" wp14:editId="06000107">
            <wp:extent cx="5759379" cy="2398143"/>
            <wp:effectExtent l="0" t="0" r="0" b="2540"/>
            <wp:docPr id="6" name="Picture 6" descr="C:\Users\gupta mihir\AppData\Local\Microsoft\Windows\INetCache\Content.Word\5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pta mihir\AppData\Local\Microsoft\Windows\INetCache\Content.Word\5a-0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985" b="2413"/>
                    <a:stretch/>
                  </pic:blipFill>
                  <pic:spPr bwMode="auto">
                    <a:xfrm>
                      <a:off x="0" y="0"/>
                      <a:ext cx="5760000" cy="2398402"/>
                    </a:xfrm>
                    <a:prstGeom prst="rect">
                      <a:avLst/>
                    </a:prstGeom>
                    <a:noFill/>
                    <a:ln>
                      <a:noFill/>
                    </a:ln>
                    <a:extLst>
                      <a:ext uri="{53640926-AAD7-44D8-BBD7-CCE9431645EC}">
                        <a14:shadowObscured xmlns:a14="http://schemas.microsoft.com/office/drawing/2010/main"/>
                      </a:ext>
                    </a:extLst>
                  </pic:spPr>
                </pic:pic>
              </a:graphicData>
            </a:graphic>
          </wp:inline>
        </w:drawing>
      </w:r>
    </w:p>
    <w:p w:rsidR="007253B5" w:rsidRDefault="007253B5">
      <w:pPr>
        <w:sectPr w:rsidR="007253B5">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rsidR="001A0266" w:rsidRDefault="007253B5">
      <w:pPr>
        <w:pStyle w:val="Heading2"/>
        <w:numPr>
          <w:ilvl w:val="0"/>
          <w:numId w:val="0"/>
        </w:numPr>
        <w:ind w:left="720" w:hanging="720"/>
      </w:pPr>
      <w:bookmarkStart w:id="5" w:name="_Toc34735525"/>
      <w:r>
        <w:lastRenderedPageBreak/>
        <w:t>Background</w:t>
      </w:r>
      <w:bookmarkEnd w:id="5"/>
    </w:p>
    <w:p w:rsidR="007253B5" w:rsidRPr="007253B5" w:rsidRDefault="007253B5" w:rsidP="007253B5">
      <w:pPr>
        <w:pStyle w:val="Heading3"/>
        <w:numPr>
          <w:ilvl w:val="0"/>
          <w:numId w:val="0"/>
        </w:numPr>
        <w:ind w:left="964" w:hanging="964"/>
        <w:rPr>
          <w:lang w:eastAsia="ja-JP"/>
        </w:rPr>
      </w:pPr>
      <w:bookmarkStart w:id="6" w:name="_Toc34735526"/>
      <w:r>
        <w:rPr>
          <w:lang w:eastAsia="ja-JP"/>
        </w:rPr>
        <w:t>The sMDB water market</w:t>
      </w:r>
      <w:bookmarkEnd w:id="6"/>
    </w:p>
    <w:p w:rsidR="007253B5" w:rsidRDefault="007253B5" w:rsidP="007253B5">
      <w:r>
        <w:rPr>
          <w:lang w:eastAsia="ja-JP"/>
        </w:rPr>
        <w:t xml:space="preserve">The Water Act was passed in 2007 and the Murray-Darling Basin Plan was introduced in 2012, with the aim of addressing long-term environmental problems from over extraction. Since 2007, </w:t>
      </w:r>
      <w:r>
        <w:t xml:space="preserve">more </w:t>
      </w:r>
      <w:r w:rsidRPr="00D33DF7">
        <w:t xml:space="preserve">than 2,100 GL of water rights </w:t>
      </w:r>
      <w:r>
        <w:t xml:space="preserve">have been recovered </w:t>
      </w:r>
      <w:r w:rsidRPr="00D33DF7">
        <w:t>for environmental use (DA 2019), nearly 20 per</w:t>
      </w:r>
      <w:r>
        <w:t xml:space="preserve"> cent of water supply. </w:t>
      </w:r>
    </w:p>
    <w:p w:rsidR="007253B5" w:rsidRDefault="007253B5" w:rsidP="007253B5">
      <w:r>
        <w:t xml:space="preserve">Water markets have been a key institutional response, ensuring water flows to its highest value use, and helping the irrigation sector adapt to reductions in supply. However, in recent years, water markets in the southern basin have been under significant pressure. A combination of lower water supply (brought about by environmental water recovery and lower inflows due to climate change) and higher irrigation demand (particularly from horticulture) have seen water prices increase dramatically, with some water rights increasing in value by around 200 per cent between 2013 and 2019. </w:t>
      </w:r>
    </w:p>
    <w:p w:rsidR="007253B5" w:rsidRDefault="007253B5" w:rsidP="007253B5">
      <w:r>
        <w:t xml:space="preserve">With an additional 501.6 GL of environmental water recovery still to be completed under the Basin Plan, the government established an independent panel to examine potential futures for the Murray Darling Basin (MDB), with a particular focus on the socio-economic effects of the Basin Plan on river communities. ABARES was contracted by the panel to contribute to this analysis using the Water Trade Model, with its ability to separate the effects of climate, policy and economic shocks on the southern Murray-Darling Basin water market. </w:t>
      </w:r>
    </w:p>
    <w:p w:rsidR="001A0266" w:rsidRDefault="00C36D89" w:rsidP="007253B5">
      <w:r>
        <w:t>Si</w:t>
      </w:r>
      <w:r w:rsidR="007253B5">
        <w:t xml:space="preserve">mulations </w:t>
      </w:r>
      <w:r>
        <w:t xml:space="preserve">are presented in this report </w:t>
      </w:r>
      <w:r w:rsidR="007253B5">
        <w:t>for long-term future water allocation prices and irrigation activity under plausible future scenarios, while controlling for external factors such as commodity prices, trade limits and climate</w:t>
      </w:r>
      <w:r w:rsidR="00533D56">
        <w:t>.</w:t>
      </w:r>
    </w:p>
    <w:p w:rsidR="007253B5" w:rsidRDefault="007253B5" w:rsidP="007253B5">
      <w:pPr>
        <w:pStyle w:val="Heading3"/>
        <w:numPr>
          <w:ilvl w:val="0"/>
          <w:numId w:val="0"/>
        </w:numPr>
        <w:ind w:left="964" w:hanging="964"/>
      </w:pPr>
      <w:bookmarkStart w:id="7" w:name="_Toc34735527"/>
      <w:r>
        <w:t>The Water Trade Model</w:t>
      </w:r>
      <w:bookmarkEnd w:id="7"/>
    </w:p>
    <w:p w:rsidR="007253B5" w:rsidRDefault="007253B5" w:rsidP="007253B5">
      <w:r>
        <w:t xml:space="preserve">ABARES has developed an economic model of water trade and irrigation activity in the </w:t>
      </w:r>
      <w:r w:rsidRPr="0080396A">
        <w:t>southern</w:t>
      </w:r>
      <w:r>
        <w:t xml:space="preserve"> Murray-Darling Basin (sMDB). The model has been extensively documented in past reports (see Hughes et. al. 2016, Gupta et. al. 2018, Gupta and Hughes 2018). Recent updates to the model, will be documented in a separate forthcoming report.</w:t>
      </w:r>
    </w:p>
    <w:p w:rsidR="007253B5" w:rsidRDefault="007253B5" w:rsidP="007253B5">
      <w:r>
        <w:t>The model is estimated using historical data from 2005</w:t>
      </w:r>
      <w:r w:rsidRPr="00BE2461">
        <w:t>–</w:t>
      </w:r>
      <w:r>
        <w:t>06 to 2018</w:t>
      </w:r>
      <w:r w:rsidRPr="00BE2461">
        <w:t>–</w:t>
      </w:r>
      <w:r>
        <w:t xml:space="preserve">19 (14 years). The irrigation activities considered in the model and the catchment regions are shown in Figure 1. A unique comprehensive dataset was developed for the model, </w:t>
      </w:r>
      <w:r w:rsidRPr="00205945">
        <w:t xml:space="preserve">detailing water availability (entitlements, allocations and carryover), market outcomes (prices and trade flows), irrigation activity (area </w:t>
      </w:r>
      <w:r>
        <w:t>irrigated</w:t>
      </w:r>
      <w:r w:rsidRPr="00205945">
        <w:t xml:space="preserve"> and water use), climate (rainfall) and commodity prices.</w:t>
      </w:r>
      <w:r>
        <w:t xml:space="preserve"> The model also defines ‘other water’ to take into account differences between irrigation water use (based on farm reported values) and allocation water supply (based on regulated surface water entitlements). </w:t>
      </w:r>
    </w:p>
    <w:p w:rsidR="007253B5" w:rsidRDefault="007253B5" w:rsidP="007253B5">
      <w:r w:rsidRPr="0010739D">
        <w:t xml:space="preserve">The inputs and outputs for the water trade model are </w:t>
      </w:r>
      <w:r>
        <w:t>listed in Figure 2, and</w:t>
      </w:r>
      <w:r w:rsidRPr="0010739D">
        <w:t xml:space="preserve"> can be modified to design various scenarios.</w:t>
      </w:r>
      <w:r>
        <w:t xml:space="preserve"> For more detail see Appendix A.</w:t>
      </w:r>
    </w:p>
    <w:p w:rsidR="007253B5" w:rsidRPr="0010739D" w:rsidRDefault="007253B5" w:rsidP="007253B5">
      <w:pPr>
        <w:pStyle w:val="Caption"/>
      </w:pPr>
      <w:bookmarkStart w:id="8" w:name="_Toc25747089"/>
      <w:bookmarkStart w:id="9" w:name="_Toc33629217"/>
      <w:bookmarkStart w:id="10" w:name="_Toc33629250"/>
      <w:bookmarkStart w:id="11" w:name="_Toc33712860"/>
      <w:bookmarkStart w:id="12" w:name="_Toc34318694"/>
      <w:bookmarkStart w:id="13" w:name="_Toc34735546"/>
      <w:bookmarkStart w:id="14" w:name="_Toc34736250"/>
      <w:r>
        <w:lastRenderedPageBreak/>
        <w:t xml:space="preserve">Figure </w:t>
      </w:r>
      <w:r w:rsidR="00750BD4">
        <w:rPr>
          <w:noProof/>
        </w:rPr>
        <w:fldChar w:fldCharType="begin"/>
      </w:r>
      <w:r w:rsidR="00750BD4">
        <w:rPr>
          <w:noProof/>
        </w:rPr>
        <w:instrText xml:space="preserve"> SEQ Figure \* ARABIC \r1 </w:instrText>
      </w:r>
      <w:r w:rsidR="00750BD4">
        <w:rPr>
          <w:noProof/>
        </w:rPr>
        <w:fldChar w:fldCharType="separate"/>
      </w:r>
      <w:r w:rsidR="004D407F">
        <w:rPr>
          <w:noProof/>
        </w:rPr>
        <w:t>1</w:t>
      </w:r>
      <w:r w:rsidR="00750BD4">
        <w:rPr>
          <w:noProof/>
        </w:rPr>
        <w:fldChar w:fldCharType="end"/>
      </w:r>
      <w:r>
        <w:t xml:space="preserve"> Scope and coverage for the Water Trade Model</w:t>
      </w:r>
      <w:bookmarkEnd w:id="8"/>
      <w:bookmarkEnd w:id="9"/>
      <w:bookmarkEnd w:id="10"/>
      <w:bookmarkEnd w:id="11"/>
      <w:bookmarkEnd w:id="12"/>
      <w:bookmarkEnd w:id="13"/>
      <w:bookmarkEnd w:id="14"/>
    </w:p>
    <w:p w:rsidR="007253B5" w:rsidRPr="0010739D" w:rsidRDefault="007253B5" w:rsidP="007253B5">
      <w:r w:rsidRPr="00E52636">
        <w:rPr>
          <w:noProof/>
          <w:lang w:eastAsia="en-AU"/>
        </w:rPr>
        <w:drawing>
          <wp:inline distT="0" distB="0" distL="0" distR="0" wp14:anchorId="590C8A2C" wp14:editId="511D8D61">
            <wp:extent cx="5758843" cy="268281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088"/>
                    <a:stretch/>
                  </pic:blipFill>
                  <pic:spPr bwMode="auto">
                    <a:xfrm>
                      <a:off x="0" y="0"/>
                      <a:ext cx="5759450" cy="2683098"/>
                    </a:xfrm>
                    <a:prstGeom prst="rect">
                      <a:avLst/>
                    </a:prstGeom>
                    <a:noFill/>
                    <a:ln>
                      <a:noFill/>
                    </a:ln>
                    <a:extLst>
                      <a:ext uri="{53640926-AAD7-44D8-BBD7-CCE9431645EC}">
                        <a14:shadowObscured xmlns:a14="http://schemas.microsoft.com/office/drawing/2010/main"/>
                      </a:ext>
                    </a:extLst>
                  </pic:spPr>
                </pic:pic>
              </a:graphicData>
            </a:graphic>
          </wp:inline>
        </w:drawing>
      </w:r>
    </w:p>
    <w:p w:rsidR="007253B5" w:rsidRDefault="007253B5" w:rsidP="007253B5">
      <w:pPr>
        <w:pStyle w:val="Caption"/>
      </w:pPr>
      <w:bookmarkStart w:id="15" w:name="_Toc25747090"/>
      <w:bookmarkStart w:id="16" w:name="_Toc33629218"/>
      <w:bookmarkStart w:id="17" w:name="_Toc33629251"/>
      <w:bookmarkStart w:id="18" w:name="_Toc33712861"/>
      <w:bookmarkStart w:id="19" w:name="_Toc34318695"/>
      <w:bookmarkStart w:id="20" w:name="_Toc34735547"/>
      <w:bookmarkStart w:id="21" w:name="_Toc34736251"/>
      <w:r>
        <w:t xml:space="preserve">Figure </w:t>
      </w:r>
      <w:r>
        <w:rPr>
          <w:noProof/>
        </w:rPr>
        <w:fldChar w:fldCharType="begin"/>
      </w:r>
      <w:r>
        <w:rPr>
          <w:noProof/>
        </w:rPr>
        <w:instrText xml:space="preserve"> SEQ Figure \* ARABIC </w:instrText>
      </w:r>
      <w:r>
        <w:rPr>
          <w:noProof/>
        </w:rPr>
        <w:fldChar w:fldCharType="separate"/>
      </w:r>
      <w:r w:rsidR="004D407F">
        <w:rPr>
          <w:noProof/>
        </w:rPr>
        <w:t>2</w:t>
      </w:r>
      <w:r>
        <w:rPr>
          <w:noProof/>
        </w:rPr>
        <w:fldChar w:fldCharType="end"/>
      </w:r>
      <w:r>
        <w:t xml:space="preserve"> Water Trade Model inputs and outputs</w:t>
      </w:r>
      <w:bookmarkEnd w:id="15"/>
      <w:bookmarkEnd w:id="16"/>
      <w:bookmarkEnd w:id="17"/>
      <w:bookmarkEnd w:id="18"/>
      <w:bookmarkEnd w:id="19"/>
      <w:bookmarkEnd w:id="20"/>
      <w:bookmarkEnd w:id="21"/>
    </w:p>
    <w:p w:rsidR="007253B5" w:rsidRDefault="004F39A5" w:rsidP="007253B5">
      <w:r>
        <w:rPr>
          <w:noProof/>
          <w:lang w:eastAsia="en-AU"/>
        </w:rPr>
        <w:drawing>
          <wp:inline distT="0" distB="0" distL="0" distR="0">
            <wp:extent cx="5760000" cy="2006927"/>
            <wp:effectExtent l="0" t="0" r="0" b="0"/>
            <wp:docPr id="3" name="Picture 3" descr="C:\Users\gupta mihir\AppData\Local\Microsoft\Windows\INetCache\Content.Word\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pta mihir\AppData\Local\Microsoft\Windows\INetCache\Content.Word\2-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006927"/>
                    </a:xfrm>
                    <a:prstGeom prst="rect">
                      <a:avLst/>
                    </a:prstGeom>
                    <a:noFill/>
                    <a:ln>
                      <a:noFill/>
                    </a:ln>
                  </pic:spPr>
                </pic:pic>
              </a:graphicData>
            </a:graphic>
          </wp:inline>
        </w:drawing>
      </w:r>
    </w:p>
    <w:p w:rsidR="002404DD" w:rsidRDefault="002404DD" w:rsidP="002404DD">
      <w:pPr>
        <w:pStyle w:val="Heading4"/>
        <w:numPr>
          <w:ilvl w:val="0"/>
          <w:numId w:val="0"/>
        </w:numPr>
        <w:ind w:left="964" w:hanging="964"/>
      </w:pPr>
      <w:r>
        <w:t>Limitations of th</w:t>
      </w:r>
      <w:r w:rsidR="00331381">
        <w:t>is analysis</w:t>
      </w:r>
    </w:p>
    <w:p w:rsidR="002404DD" w:rsidRDefault="00A2666C" w:rsidP="002404DD">
      <w:r>
        <w:t xml:space="preserve">There are some caveats to the results presented </w:t>
      </w:r>
      <w:r w:rsidR="00AE681D">
        <w:t>in this report, listed below, that reflect the short-term nature of the ABARES Water Trade Model</w:t>
      </w:r>
      <w:r w:rsidR="00331381">
        <w:t xml:space="preserve"> and the scenarios considered in this analysis</w:t>
      </w:r>
      <w:r w:rsidR="00AE681D">
        <w:t>. Neve</w:t>
      </w:r>
      <w:r w:rsidR="00703623">
        <w:t xml:space="preserve">rtheless, the results provide an </w:t>
      </w:r>
      <w:r w:rsidR="00AE681D">
        <w:t xml:space="preserve">indication of potential future trends in </w:t>
      </w:r>
      <w:r w:rsidR="00C36D89">
        <w:t>sMDB</w:t>
      </w:r>
      <w:r w:rsidR="00AE681D">
        <w:t xml:space="preserve"> water markets, and a deeper understanding of the drivers of water demand and supply in the region.</w:t>
      </w:r>
    </w:p>
    <w:p w:rsidR="00AE681D" w:rsidRDefault="00AE681D" w:rsidP="00AE681D">
      <w:pPr>
        <w:pStyle w:val="ListParagraph"/>
        <w:numPr>
          <w:ilvl w:val="0"/>
          <w:numId w:val="31"/>
        </w:numPr>
        <w:ind w:left="426" w:hanging="426"/>
      </w:pPr>
      <w:r>
        <w:t>The analysis is based on current farms using current capital and technology, and do not allow for long-term adaptation or structural adjustment.</w:t>
      </w:r>
    </w:p>
    <w:p w:rsidR="00AE681D" w:rsidRDefault="00AE681D" w:rsidP="00AE681D">
      <w:pPr>
        <w:pStyle w:val="ListParagraph"/>
        <w:numPr>
          <w:ilvl w:val="0"/>
          <w:numId w:val="31"/>
        </w:numPr>
        <w:ind w:left="426" w:hanging="426"/>
      </w:pPr>
      <w:r>
        <w:t>The historical climate conditions assumed for the Current market and Future market scenarios are drier that the average for the longer historical record, and may differ from typical future climate conditions.</w:t>
      </w:r>
    </w:p>
    <w:p w:rsidR="00AE681D" w:rsidRDefault="00AE681D" w:rsidP="00AE681D">
      <w:pPr>
        <w:pStyle w:val="ListParagraph"/>
        <w:numPr>
          <w:ilvl w:val="0"/>
          <w:numId w:val="31"/>
        </w:numPr>
        <w:ind w:left="426" w:hanging="426"/>
      </w:pPr>
      <w:r>
        <w:t>The analysis does not provide a prediction of future prices or irrigation activity. Results are presented for representative ‘dry’, ‘average’ and ‘wet’ seasonal conditions, and are not forecasts for specific future periods.</w:t>
      </w:r>
    </w:p>
    <w:p w:rsidR="00AE681D" w:rsidRDefault="00331381" w:rsidP="00AE681D">
      <w:pPr>
        <w:pStyle w:val="ListParagraph"/>
        <w:numPr>
          <w:ilvl w:val="0"/>
          <w:numId w:val="31"/>
        </w:numPr>
        <w:ind w:left="426" w:hanging="426"/>
      </w:pPr>
      <w:r>
        <w:t xml:space="preserve">Trade rules are assumed </w:t>
      </w:r>
      <w:r w:rsidR="00703623">
        <w:t>reflect market conditions in</w:t>
      </w:r>
      <w:r w:rsidR="00AE681D">
        <w:t xml:space="preserve"> 2018–19, and </w:t>
      </w:r>
      <w:r>
        <w:t>do</w:t>
      </w:r>
      <w:r w:rsidR="00AE681D">
        <w:t xml:space="preserve"> not account for </w:t>
      </w:r>
      <w:r w:rsidR="00C36D89">
        <w:t>possible</w:t>
      </w:r>
      <w:r w:rsidR="00AE681D">
        <w:t xml:space="preserve"> changes to the Goulburn Inter-Valley</w:t>
      </w:r>
      <w:r>
        <w:t xml:space="preserve"> Trade limit or other trade rules</w:t>
      </w:r>
      <w:r w:rsidR="00AE681D">
        <w:t>.</w:t>
      </w:r>
    </w:p>
    <w:p w:rsidR="00331381" w:rsidRDefault="00331381" w:rsidP="00331381">
      <w:pPr>
        <w:pStyle w:val="ListParagraph"/>
        <w:numPr>
          <w:ilvl w:val="0"/>
          <w:numId w:val="31"/>
        </w:numPr>
        <w:ind w:left="426" w:hanging="426"/>
      </w:pPr>
      <w:r>
        <w:lastRenderedPageBreak/>
        <w:t xml:space="preserve">Commodity prices are also fixed to observed values in 2018-19. Prices higher or lower than assumed will alter the demand for water from farms producing that commodity, and hence their overall water use and production. </w:t>
      </w:r>
    </w:p>
    <w:p w:rsidR="00331381" w:rsidRDefault="00331381" w:rsidP="00331381">
      <w:pPr>
        <w:pStyle w:val="ListParagraph"/>
        <w:numPr>
          <w:ilvl w:val="0"/>
          <w:numId w:val="31"/>
        </w:numPr>
        <w:ind w:left="426" w:hanging="426"/>
      </w:pPr>
      <w:r>
        <w:t>The analysis does not include consideration of potential benefits from environmental water recovery to the irrigation sector (for example</w:t>
      </w:r>
      <w:r w:rsidR="00C36D89">
        <w:t>,</w:t>
      </w:r>
      <w:r>
        <w:t xml:space="preserve"> potentially improved water quality or delivery), or to the broader community. Measuring these benefits </w:t>
      </w:r>
      <w:r w:rsidR="00504FB1">
        <w:t xml:space="preserve">would require data and methods </w:t>
      </w:r>
      <w:r>
        <w:t>beyond the scope of this project.</w:t>
      </w:r>
    </w:p>
    <w:p w:rsidR="00331381" w:rsidRPr="002404DD" w:rsidRDefault="00331381" w:rsidP="00331381">
      <w:pPr>
        <w:pStyle w:val="ListParagraph"/>
        <w:numPr>
          <w:ilvl w:val="0"/>
          <w:numId w:val="31"/>
        </w:numPr>
        <w:ind w:left="426" w:hanging="426"/>
      </w:pPr>
      <w:r>
        <w:t xml:space="preserve">The analysis assumes that environmental water recovery is fully complete </w:t>
      </w:r>
      <w:r w:rsidR="00504FB1">
        <w:t>in each of the future scenarios. ABARES has</w:t>
      </w:r>
      <w:r>
        <w:t xml:space="preserve"> not considered the feasibility of recovering the remaining environmental water by any particular date.</w:t>
      </w:r>
    </w:p>
    <w:p w:rsidR="007253B5" w:rsidRDefault="007253B5" w:rsidP="007253B5">
      <w:pPr>
        <w:pStyle w:val="Heading2"/>
        <w:numPr>
          <w:ilvl w:val="0"/>
          <w:numId w:val="0"/>
        </w:numPr>
        <w:ind w:left="720" w:hanging="720"/>
      </w:pPr>
      <w:bookmarkStart w:id="22" w:name="_Toc34735528"/>
      <w:r>
        <w:lastRenderedPageBreak/>
        <w:t>Scenarios</w:t>
      </w:r>
      <w:bookmarkEnd w:id="22"/>
    </w:p>
    <w:p w:rsidR="007253B5" w:rsidRDefault="007253B5" w:rsidP="007253B5">
      <w:r w:rsidRPr="00CA5A87">
        <w:t xml:space="preserve">The ABARES Water Trade Model was used to </w:t>
      </w:r>
      <w:r>
        <w:t>estimate</w:t>
      </w:r>
      <w:r w:rsidRPr="00CA5A87">
        <w:t xml:space="preserve"> </w:t>
      </w:r>
      <w:r w:rsidR="00C36D89">
        <w:t xml:space="preserve">water allocation </w:t>
      </w:r>
      <w:r w:rsidRPr="00CA5A87">
        <w:t xml:space="preserve">prices, water trade and irrigation activity under </w:t>
      </w:r>
      <w:r>
        <w:t>three</w:t>
      </w:r>
      <w:r w:rsidRPr="00CA5A87">
        <w:t xml:space="preserve"> different scenarios</w:t>
      </w:r>
      <w:r>
        <w:t xml:space="preserve"> (Table 1)</w:t>
      </w:r>
      <w:r w:rsidRPr="00CA5A87">
        <w:t xml:space="preserve">. </w:t>
      </w:r>
      <w:r>
        <w:t xml:space="preserve">The current market scenario holds all water market drivers (including water recovery, almond water use and commodity prices) fixed at currently observed levels (i.e. 2018–19), in order to provide an accurate comparison point for ‘future scenario’ results. The ‘future scenarios’ (future market and future market (dry)) are designed to provide insight for plausible futures for the southern Murray-Darling Basin, and have been developed in consultation with the panel, the Murray-Darling Basin Authority (MDBA) and Marsden Jacob Associates (MJA). </w:t>
      </w:r>
    </w:p>
    <w:p w:rsidR="007253B5" w:rsidRDefault="007253B5" w:rsidP="007253B5">
      <w:r>
        <w:t xml:space="preserve">In the future market scenario, </w:t>
      </w:r>
      <w:r w:rsidR="00C36D89">
        <w:t>water recovered under the</w:t>
      </w:r>
      <w:r>
        <w:t xml:space="preserve"> Basin Plan is completed in full and a further 501.6 GL of water rights (in LTAAY terms) is recovered across the basin. This future water recovery is assumed to occur via on-farm infrastructure upgrades. The scenario also takes into account an increase in farm productivity and water demand due to the effects of these upgrades. </w:t>
      </w:r>
    </w:p>
    <w:p w:rsidR="007253B5" w:rsidRDefault="007253B5" w:rsidP="007253B5">
      <w:r>
        <w:t>In addition, all existing almond trees are assumed to be fully mature, thereby increasing the demand for water from the almond industry. This predominantly affects the lower Murray regions (particularly the SA Murray and NSW Murray below Barmah), where new plantings have occurred in recent years.</w:t>
      </w:r>
    </w:p>
    <w:p w:rsidR="007253B5" w:rsidRDefault="007253B5" w:rsidP="007253B5">
      <w:r>
        <w:t>In the future market (dry) scenario, these assumptions are all repeated, and climate change is assumed to further reduce rainfall and water supply. Previous work undertaken by CSIRO (2008) was used to inform the assumptions in this scenario.</w:t>
      </w:r>
    </w:p>
    <w:p w:rsidR="007253B5" w:rsidRDefault="007253B5" w:rsidP="007253B5">
      <w:pPr>
        <w:pStyle w:val="Caption"/>
      </w:pPr>
      <w:bookmarkStart w:id="23" w:name="_Toc25747084"/>
      <w:bookmarkStart w:id="24" w:name="_Toc33629185"/>
      <w:bookmarkStart w:id="25" w:name="_Toc33629219"/>
      <w:bookmarkStart w:id="26" w:name="_Toc33629252"/>
      <w:bookmarkStart w:id="27" w:name="_Toc33712862"/>
      <w:bookmarkStart w:id="28" w:name="_Toc34318696"/>
      <w:bookmarkStart w:id="29" w:name="_Toc34735535"/>
      <w:bookmarkStart w:id="30" w:name="_Toc34735548"/>
      <w:r>
        <w:t xml:space="preserve">Table </w:t>
      </w:r>
      <w:r>
        <w:rPr>
          <w:noProof/>
        </w:rPr>
        <w:fldChar w:fldCharType="begin"/>
      </w:r>
      <w:r>
        <w:rPr>
          <w:noProof/>
        </w:rPr>
        <w:instrText xml:space="preserve"> SEQ Table \* ARABIC </w:instrText>
      </w:r>
      <w:r>
        <w:rPr>
          <w:noProof/>
        </w:rPr>
        <w:fldChar w:fldCharType="separate"/>
      </w:r>
      <w:r w:rsidR="004D407F">
        <w:rPr>
          <w:noProof/>
        </w:rPr>
        <w:t>1</w:t>
      </w:r>
      <w:r>
        <w:rPr>
          <w:noProof/>
        </w:rPr>
        <w:fldChar w:fldCharType="end"/>
      </w:r>
      <w:r>
        <w:t xml:space="preserve"> Scenario assumptions</w:t>
      </w:r>
      <w:bookmarkEnd w:id="23"/>
      <w:bookmarkEnd w:id="24"/>
      <w:bookmarkEnd w:id="25"/>
      <w:bookmarkEnd w:id="26"/>
      <w:bookmarkEnd w:id="27"/>
      <w:bookmarkEnd w:id="28"/>
      <w:bookmarkEnd w:id="29"/>
      <w:bookmarkEnd w:id="30"/>
    </w:p>
    <w:tbl>
      <w:tblPr>
        <w:tblpPr w:leftFromText="180" w:rightFromText="180" w:vertAnchor="text" w:horzAnchor="margin" w:tblpY="-31"/>
        <w:tblW w:w="5000" w:type="pct"/>
        <w:tblLayout w:type="fixed"/>
        <w:tblLook w:val="04A0" w:firstRow="1" w:lastRow="0" w:firstColumn="1" w:lastColumn="0" w:noHBand="0" w:noVBand="1"/>
      </w:tblPr>
      <w:tblGrid>
        <w:gridCol w:w="287"/>
        <w:gridCol w:w="989"/>
        <w:gridCol w:w="992"/>
        <w:gridCol w:w="1141"/>
        <w:gridCol w:w="1273"/>
        <w:gridCol w:w="1275"/>
        <w:gridCol w:w="849"/>
        <w:gridCol w:w="1279"/>
        <w:gridCol w:w="985"/>
      </w:tblGrid>
      <w:tr w:rsidR="00617E04" w:rsidRPr="00EE78F4" w:rsidTr="00C629A3">
        <w:trPr>
          <w:trHeight w:val="557"/>
        </w:trPr>
        <w:tc>
          <w:tcPr>
            <w:tcW w:w="158"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p>
        </w:tc>
        <w:tc>
          <w:tcPr>
            <w:tcW w:w="545"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rPr>
                <w:rFonts w:asciiTheme="majorHAnsi" w:eastAsia="Times New Roman" w:hAnsiTheme="majorHAnsi"/>
                <w:b/>
                <w:bCs/>
                <w:color w:val="000000"/>
                <w:sz w:val="18"/>
                <w:szCs w:val="18"/>
                <w:lang w:eastAsia="en-AU"/>
              </w:rPr>
            </w:pPr>
            <w:r w:rsidRPr="00EE78F4">
              <w:rPr>
                <w:rFonts w:asciiTheme="majorHAnsi" w:eastAsia="Times New Roman" w:hAnsiTheme="majorHAnsi"/>
                <w:b/>
                <w:bCs/>
                <w:color w:val="000000"/>
                <w:sz w:val="18"/>
                <w:szCs w:val="18"/>
                <w:lang w:eastAsia="en-AU"/>
              </w:rPr>
              <w:t xml:space="preserve">Name </w:t>
            </w:r>
          </w:p>
        </w:tc>
        <w:tc>
          <w:tcPr>
            <w:tcW w:w="547"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r w:rsidRPr="00EE78F4">
              <w:rPr>
                <w:rFonts w:asciiTheme="majorHAnsi" w:eastAsia="Times New Roman" w:hAnsiTheme="majorHAnsi"/>
                <w:b/>
                <w:bCs/>
                <w:color w:val="000000"/>
                <w:sz w:val="18"/>
                <w:szCs w:val="18"/>
                <w:lang w:eastAsia="en-AU"/>
              </w:rPr>
              <w:t>Rainfall</w:t>
            </w:r>
          </w:p>
        </w:tc>
        <w:tc>
          <w:tcPr>
            <w:tcW w:w="629"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r w:rsidRPr="00EE78F4">
              <w:rPr>
                <w:rFonts w:asciiTheme="majorHAnsi" w:eastAsia="Times New Roman" w:hAnsiTheme="majorHAnsi"/>
                <w:b/>
                <w:bCs/>
                <w:color w:val="000000"/>
                <w:sz w:val="18"/>
                <w:szCs w:val="18"/>
                <w:lang w:eastAsia="en-AU"/>
              </w:rPr>
              <w:t>Allocation volume</w:t>
            </w:r>
          </w:p>
        </w:tc>
        <w:tc>
          <w:tcPr>
            <w:tcW w:w="702"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r w:rsidRPr="00EE78F4">
              <w:rPr>
                <w:rFonts w:asciiTheme="majorHAnsi" w:eastAsia="Times New Roman" w:hAnsiTheme="majorHAnsi"/>
                <w:b/>
                <w:bCs/>
                <w:color w:val="000000"/>
                <w:sz w:val="18"/>
                <w:szCs w:val="18"/>
                <w:lang w:eastAsia="en-AU"/>
              </w:rPr>
              <w:t>Water recovery</w:t>
            </w:r>
            <w:r w:rsidR="00617E04">
              <w:rPr>
                <w:rFonts w:asciiTheme="majorHAnsi" w:eastAsia="Times New Roman" w:hAnsiTheme="majorHAnsi"/>
                <w:b/>
                <w:bCs/>
                <w:color w:val="000000"/>
                <w:sz w:val="18"/>
                <w:szCs w:val="18"/>
                <w:lang w:eastAsia="en-AU"/>
              </w:rPr>
              <w:t xml:space="preserve"> </w:t>
            </w:r>
            <w:r w:rsidR="00617E04" w:rsidRPr="00C629A3">
              <w:rPr>
                <w:rFonts w:asciiTheme="majorHAnsi" w:eastAsia="Times New Roman" w:hAnsiTheme="majorHAnsi"/>
                <w:b/>
                <w:bCs/>
                <w:color w:val="000000"/>
                <w:sz w:val="14"/>
                <w:szCs w:val="14"/>
                <w:lang w:eastAsia="en-AU"/>
              </w:rPr>
              <w:t>(a)</w:t>
            </w:r>
          </w:p>
        </w:tc>
        <w:tc>
          <w:tcPr>
            <w:tcW w:w="703"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r>
              <w:rPr>
                <w:rFonts w:asciiTheme="majorHAnsi" w:eastAsia="Times New Roman" w:hAnsiTheme="majorHAnsi"/>
                <w:b/>
                <w:bCs/>
                <w:color w:val="000000"/>
                <w:sz w:val="18"/>
                <w:szCs w:val="18"/>
                <w:lang w:eastAsia="en-AU"/>
              </w:rPr>
              <w:t>R</w:t>
            </w:r>
            <w:r w:rsidRPr="00EE78F4">
              <w:rPr>
                <w:rFonts w:asciiTheme="majorHAnsi" w:eastAsia="Times New Roman" w:hAnsiTheme="majorHAnsi"/>
                <w:b/>
                <w:bCs/>
                <w:color w:val="000000"/>
                <w:sz w:val="18"/>
                <w:szCs w:val="18"/>
                <w:lang w:eastAsia="en-AU"/>
              </w:rPr>
              <w:t>ecovery mechanism</w:t>
            </w:r>
          </w:p>
        </w:tc>
        <w:tc>
          <w:tcPr>
            <w:tcW w:w="468"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r w:rsidRPr="00EE78F4">
              <w:rPr>
                <w:rFonts w:asciiTheme="majorHAnsi" w:eastAsia="Times New Roman" w:hAnsiTheme="majorHAnsi"/>
                <w:b/>
                <w:bCs/>
                <w:color w:val="000000"/>
                <w:sz w:val="18"/>
                <w:szCs w:val="18"/>
                <w:lang w:eastAsia="en-AU"/>
              </w:rPr>
              <w:t>Trade limits</w:t>
            </w:r>
          </w:p>
        </w:tc>
        <w:tc>
          <w:tcPr>
            <w:tcW w:w="705"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b/>
                <w:bCs/>
                <w:color w:val="000000"/>
                <w:sz w:val="18"/>
                <w:szCs w:val="18"/>
                <w:lang w:eastAsia="en-AU"/>
              </w:rPr>
            </w:pPr>
            <w:r w:rsidRPr="00EE78F4">
              <w:rPr>
                <w:rFonts w:asciiTheme="majorHAnsi" w:eastAsia="Times New Roman" w:hAnsiTheme="majorHAnsi"/>
                <w:b/>
                <w:bCs/>
                <w:color w:val="000000"/>
                <w:sz w:val="18"/>
                <w:szCs w:val="18"/>
                <w:lang w:eastAsia="en-AU"/>
              </w:rPr>
              <w:t>Commodity prices</w:t>
            </w:r>
          </w:p>
        </w:tc>
        <w:tc>
          <w:tcPr>
            <w:tcW w:w="543" w:type="pct"/>
            <w:tcBorders>
              <w:top w:val="single" w:sz="4" w:space="0" w:color="auto"/>
              <w:left w:val="nil"/>
              <w:bottom w:val="single" w:sz="4" w:space="0" w:color="auto"/>
              <w:right w:val="nil"/>
            </w:tcBorders>
            <w:shd w:val="clear" w:color="auto" w:fill="auto"/>
            <w:noWrap/>
            <w:vAlign w:val="center"/>
            <w:hideMark/>
          </w:tcPr>
          <w:p w:rsidR="007253B5" w:rsidRPr="00EE78F4" w:rsidRDefault="00A2666C" w:rsidP="007253B5">
            <w:pPr>
              <w:spacing w:after="60" w:line="240" w:lineRule="auto"/>
              <w:jc w:val="center"/>
              <w:rPr>
                <w:rFonts w:asciiTheme="majorHAnsi" w:eastAsia="Times New Roman" w:hAnsiTheme="majorHAnsi"/>
                <w:b/>
                <w:bCs/>
                <w:color w:val="000000"/>
                <w:sz w:val="18"/>
                <w:szCs w:val="18"/>
                <w:lang w:eastAsia="en-AU"/>
              </w:rPr>
            </w:pPr>
            <w:r>
              <w:rPr>
                <w:rFonts w:asciiTheme="majorHAnsi" w:eastAsia="Times New Roman" w:hAnsiTheme="majorHAnsi"/>
                <w:b/>
                <w:bCs/>
                <w:color w:val="000000"/>
                <w:sz w:val="18"/>
                <w:szCs w:val="18"/>
                <w:lang w:eastAsia="en-AU"/>
              </w:rPr>
              <w:t>Water demand</w:t>
            </w:r>
          </w:p>
        </w:tc>
      </w:tr>
      <w:tr w:rsidR="00617E04" w:rsidRPr="00EE78F4" w:rsidTr="00C629A3">
        <w:trPr>
          <w:trHeight w:val="447"/>
        </w:trPr>
        <w:tc>
          <w:tcPr>
            <w:tcW w:w="158" w:type="pct"/>
            <w:tcBorders>
              <w:top w:val="single" w:sz="4" w:space="0" w:color="auto"/>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R</w:t>
            </w:r>
          </w:p>
        </w:tc>
        <w:tc>
          <w:tcPr>
            <w:tcW w:w="545"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rPr>
                <w:rFonts w:asciiTheme="majorHAnsi" w:eastAsia="Times New Roman" w:hAnsiTheme="majorHAnsi"/>
                <w:color w:val="000000"/>
                <w:sz w:val="18"/>
                <w:szCs w:val="18"/>
                <w:lang w:eastAsia="en-AU"/>
              </w:rPr>
            </w:pPr>
            <w:r>
              <w:rPr>
                <w:rFonts w:asciiTheme="majorHAnsi" w:eastAsia="Times New Roman" w:hAnsiTheme="majorHAnsi"/>
                <w:color w:val="000000"/>
                <w:sz w:val="18"/>
                <w:szCs w:val="18"/>
                <w:lang w:eastAsia="en-AU"/>
              </w:rPr>
              <w:t>Current market</w:t>
            </w:r>
            <w:r w:rsidRPr="00EE78F4">
              <w:rPr>
                <w:rFonts w:asciiTheme="majorHAnsi" w:eastAsia="Times New Roman" w:hAnsiTheme="majorHAnsi"/>
                <w:color w:val="000000"/>
                <w:sz w:val="18"/>
                <w:szCs w:val="18"/>
                <w:lang w:eastAsia="en-AU"/>
              </w:rPr>
              <w:t xml:space="preserve"> </w:t>
            </w:r>
            <w:r w:rsidR="00C629A3" w:rsidRPr="00C629A3">
              <w:rPr>
                <w:rFonts w:asciiTheme="majorHAnsi" w:eastAsia="Times New Roman" w:hAnsiTheme="majorHAnsi"/>
                <w:color w:val="000000"/>
                <w:sz w:val="14"/>
                <w:szCs w:val="14"/>
                <w:lang w:eastAsia="en-AU"/>
              </w:rPr>
              <w:t>(c)</w:t>
            </w:r>
          </w:p>
        </w:tc>
        <w:tc>
          <w:tcPr>
            <w:tcW w:w="547"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No change</w:t>
            </w:r>
          </w:p>
        </w:tc>
        <w:tc>
          <w:tcPr>
            <w:tcW w:w="629"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No change</w:t>
            </w:r>
          </w:p>
        </w:tc>
        <w:tc>
          <w:tcPr>
            <w:tcW w:w="702"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703"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468"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705"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543" w:type="pct"/>
            <w:tcBorders>
              <w:top w:val="single" w:sz="4" w:space="0" w:color="auto"/>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r>
      <w:tr w:rsidR="00617E04" w:rsidRPr="00EE78F4" w:rsidTr="00C629A3">
        <w:trPr>
          <w:trHeight w:val="418"/>
        </w:trPr>
        <w:tc>
          <w:tcPr>
            <w:tcW w:w="158" w:type="pct"/>
            <w:tcBorders>
              <w:top w:val="single" w:sz="4" w:space="0" w:color="auto"/>
              <w:left w:val="nil"/>
              <w:bottom w:val="single" w:sz="4" w:space="0" w:color="auto"/>
              <w:right w:val="nil"/>
            </w:tcBorders>
            <w:shd w:val="clear" w:color="auto" w:fill="B8CCE4" w:themeFill="accent1" w:themeFillTint="66"/>
            <w:noWrap/>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c>
          <w:tcPr>
            <w:tcW w:w="1092" w:type="pct"/>
            <w:gridSpan w:val="2"/>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0" w:line="240" w:lineRule="auto"/>
              <w:rPr>
                <w:rFonts w:asciiTheme="majorHAnsi" w:eastAsia="Times New Roman" w:hAnsiTheme="majorHAnsi"/>
                <w:b/>
                <w:color w:val="000000"/>
                <w:sz w:val="18"/>
                <w:szCs w:val="18"/>
                <w:lang w:eastAsia="en-AU"/>
              </w:rPr>
            </w:pPr>
            <w:r w:rsidRPr="00EE78F4">
              <w:rPr>
                <w:rFonts w:asciiTheme="majorHAnsi" w:eastAsia="Times New Roman" w:hAnsiTheme="majorHAnsi"/>
                <w:b/>
                <w:color w:val="000000"/>
                <w:sz w:val="18"/>
                <w:szCs w:val="18"/>
                <w:lang w:eastAsia="en-AU"/>
              </w:rPr>
              <w:t xml:space="preserve">SCENARIOS </w:t>
            </w:r>
          </w:p>
        </w:tc>
        <w:tc>
          <w:tcPr>
            <w:tcW w:w="629" w:type="pct"/>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c>
          <w:tcPr>
            <w:tcW w:w="702" w:type="pct"/>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c>
          <w:tcPr>
            <w:tcW w:w="703" w:type="pct"/>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c>
          <w:tcPr>
            <w:tcW w:w="468" w:type="pct"/>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c>
          <w:tcPr>
            <w:tcW w:w="705" w:type="pct"/>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c>
          <w:tcPr>
            <w:tcW w:w="543" w:type="pct"/>
            <w:tcBorders>
              <w:top w:val="single" w:sz="4" w:space="0" w:color="auto"/>
              <w:left w:val="nil"/>
              <w:bottom w:val="single" w:sz="4" w:space="0" w:color="auto"/>
              <w:right w:val="nil"/>
            </w:tcBorders>
            <w:shd w:val="clear" w:color="auto" w:fill="B8CCE4" w:themeFill="accent1" w:themeFillTint="66"/>
            <w:vAlign w:val="center"/>
          </w:tcPr>
          <w:p w:rsidR="007253B5" w:rsidRPr="00EE78F4" w:rsidRDefault="007253B5" w:rsidP="007253B5">
            <w:pPr>
              <w:spacing w:after="60" w:line="240" w:lineRule="auto"/>
              <w:jc w:val="center"/>
              <w:rPr>
                <w:rFonts w:asciiTheme="majorHAnsi" w:eastAsia="Times New Roman" w:hAnsiTheme="majorHAnsi"/>
                <w:b/>
                <w:color w:val="000000"/>
                <w:sz w:val="18"/>
                <w:szCs w:val="18"/>
                <w:lang w:eastAsia="en-AU"/>
              </w:rPr>
            </w:pPr>
          </w:p>
        </w:tc>
      </w:tr>
      <w:tr w:rsidR="00617E04" w:rsidRPr="00EE78F4" w:rsidTr="00C629A3">
        <w:trPr>
          <w:trHeight w:val="600"/>
        </w:trPr>
        <w:tc>
          <w:tcPr>
            <w:tcW w:w="158" w:type="pct"/>
            <w:tcBorders>
              <w:top w:val="single" w:sz="4" w:space="0" w:color="auto"/>
              <w:left w:val="nil"/>
              <w:bottom w:val="nil"/>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1</w:t>
            </w:r>
          </w:p>
        </w:tc>
        <w:tc>
          <w:tcPr>
            <w:tcW w:w="545"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rPr>
                <w:rFonts w:asciiTheme="majorHAnsi" w:eastAsia="Times New Roman" w:hAnsiTheme="majorHAnsi"/>
                <w:color w:val="000000"/>
                <w:sz w:val="18"/>
                <w:szCs w:val="18"/>
                <w:lang w:eastAsia="en-AU"/>
              </w:rPr>
            </w:pPr>
            <w:r>
              <w:rPr>
                <w:rFonts w:asciiTheme="majorHAnsi" w:eastAsia="Times New Roman" w:hAnsiTheme="majorHAnsi"/>
                <w:color w:val="000000"/>
                <w:sz w:val="18"/>
                <w:szCs w:val="18"/>
                <w:lang w:eastAsia="en-AU"/>
              </w:rPr>
              <w:t>Future market</w:t>
            </w:r>
          </w:p>
        </w:tc>
        <w:tc>
          <w:tcPr>
            <w:tcW w:w="547"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No change</w:t>
            </w:r>
          </w:p>
        </w:tc>
        <w:tc>
          <w:tcPr>
            <w:tcW w:w="629"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No change</w:t>
            </w:r>
          </w:p>
        </w:tc>
        <w:tc>
          <w:tcPr>
            <w:tcW w:w="702"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Future recovery</w:t>
            </w:r>
          </w:p>
        </w:tc>
        <w:tc>
          <w:tcPr>
            <w:tcW w:w="703" w:type="pct"/>
            <w:tcBorders>
              <w:top w:val="single" w:sz="4" w:space="0" w:color="auto"/>
              <w:left w:val="nil"/>
              <w:bottom w:val="nil"/>
              <w:right w:val="nil"/>
            </w:tcBorders>
            <w:shd w:val="clear" w:color="auto" w:fill="E5DFEC" w:themeFill="accent4" w:themeFillTint="33"/>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 xml:space="preserve">100% through </w:t>
            </w:r>
            <w:r>
              <w:rPr>
                <w:rFonts w:asciiTheme="majorHAnsi" w:eastAsia="Times New Roman" w:hAnsiTheme="majorHAnsi"/>
                <w:color w:val="000000"/>
                <w:sz w:val="18"/>
                <w:szCs w:val="18"/>
                <w:lang w:eastAsia="en-AU"/>
              </w:rPr>
              <w:t>on-farm programs</w:t>
            </w:r>
          </w:p>
        </w:tc>
        <w:tc>
          <w:tcPr>
            <w:tcW w:w="468"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705"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543" w:type="pct"/>
            <w:tcBorders>
              <w:top w:val="single" w:sz="4" w:space="0" w:color="auto"/>
              <w:left w:val="nil"/>
              <w:bottom w:val="nil"/>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Modelled increase</w:t>
            </w:r>
            <w:r w:rsidR="00617E04">
              <w:rPr>
                <w:rFonts w:asciiTheme="majorHAnsi" w:eastAsia="Times New Roman" w:hAnsiTheme="majorHAnsi"/>
                <w:color w:val="000000"/>
                <w:sz w:val="18"/>
                <w:szCs w:val="18"/>
                <w:lang w:eastAsia="en-AU"/>
              </w:rPr>
              <w:br/>
            </w:r>
            <w:r w:rsidR="00617E04" w:rsidRPr="00C629A3">
              <w:rPr>
                <w:rFonts w:asciiTheme="majorHAnsi" w:eastAsia="Times New Roman" w:hAnsiTheme="majorHAnsi"/>
                <w:color w:val="000000"/>
                <w:sz w:val="14"/>
                <w:szCs w:val="14"/>
                <w:lang w:eastAsia="en-AU"/>
              </w:rPr>
              <w:t>(b, d)</w:t>
            </w:r>
          </w:p>
        </w:tc>
      </w:tr>
      <w:tr w:rsidR="00617E04" w:rsidRPr="00EE78F4" w:rsidTr="00C629A3">
        <w:trPr>
          <w:trHeight w:val="600"/>
        </w:trPr>
        <w:tc>
          <w:tcPr>
            <w:tcW w:w="158" w:type="pct"/>
            <w:tcBorders>
              <w:top w:val="nil"/>
              <w:left w:val="nil"/>
              <w:bottom w:val="single" w:sz="4" w:space="0" w:color="auto"/>
              <w:right w:val="nil"/>
            </w:tcBorders>
            <w:shd w:val="clear" w:color="auto" w:fill="auto"/>
            <w:noWrap/>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2</w:t>
            </w:r>
          </w:p>
        </w:tc>
        <w:tc>
          <w:tcPr>
            <w:tcW w:w="545"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rPr>
                <w:rFonts w:asciiTheme="majorHAnsi" w:eastAsia="Times New Roman" w:hAnsiTheme="majorHAnsi"/>
                <w:color w:val="000000"/>
                <w:sz w:val="18"/>
                <w:szCs w:val="18"/>
                <w:lang w:eastAsia="en-AU"/>
              </w:rPr>
            </w:pPr>
            <w:r>
              <w:rPr>
                <w:rFonts w:asciiTheme="majorHAnsi" w:eastAsia="Times New Roman" w:hAnsiTheme="majorHAnsi"/>
                <w:color w:val="000000"/>
                <w:sz w:val="18"/>
                <w:szCs w:val="18"/>
                <w:lang w:eastAsia="en-AU"/>
              </w:rPr>
              <w:t>Future market (dry)</w:t>
            </w:r>
            <w:r w:rsidRPr="00EE78F4">
              <w:rPr>
                <w:rFonts w:asciiTheme="majorHAnsi" w:eastAsia="Times New Roman" w:hAnsiTheme="majorHAnsi"/>
                <w:color w:val="000000"/>
                <w:sz w:val="18"/>
                <w:szCs w:val="18"/>
                <w:lang w:eastAsia="en-AU"/>
              </w:rPr>
              <w:t xml:space="preserve"> </w:t>
            </w:r>
          </w:p>
        </w:tc>
        <w:tc>
          <w:tcPr>
            <w:tcW w:w="547"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3% decrease</w:t>
            </w:r>
          </w:p>
        </w:tc>
        <w:tc>
          <w:tcPr>
            <w:tcW w:w="629"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11% decrease</w:t>
            </w:r>
          </w:p>
        </w:tc>
        <w:tc>
          <w:tcPr>
            <w:tcW w:w="702"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Future recovery</w:t>
            </w:r>
          </w:p>
        </w:tc>
        <w:tc>
          <w:tcPr>
            <w:tcW w:w="703" w:type="pct"/>
            <w:tcBorders>
              <w:top w:val="nil"/>
              <w:left w:val="nil"/>
              <w:bottom w:val="single" w:sz="4" w:space="0" w:color="auto"/>
              <w:right w:val="nil"/>
            </w:tcBorders>
            <w:shd w:val="clear" w:color="auto" w:fill="E5DFEC" w:themeFill="accent4" w:themeFillTint="33"/>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 xml:space="preserve">100% through </w:t>
            </w:r>
            <w:r>
              <w:rPr>
                <w:rFonts w:asciiTheme="majorHAnsi" w:eastAsia="Times New Roman" w:hAnsiTheme="majorHAnsi"/>
                <w:color w:val="000000"/>
                <w:sz w:val="18"/>
                <w:szCs w:val="18"/>
                <w:lang w:eastAsia="en-AU"/>
              </w:rPr>
              <w:t>on-farm programs</w:t>
            </w:r>
          </w:p>
        </w:tc>
        <w:tc>
          <w:tcPr>
            <w:tcW w:w="468"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705"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Current</w:t>
            </w:r>
          </w:p>
        </w:tc>
        <w:tc>
          <w:tcPr>
            <w:tcW w:w="543" w:type="pct"/>
            <w:tcBorders>
              <w:top w:val="nil"/>
              <w:left w:val="nil"/>
              <w:bottom w:val="single" w:sz="4" w:space="0" w:color="auto"/>
              <w:right w:val="nil"/>
            </w:tcBorders>
            <w:shd w:val="clear" w:color="auto" w:fill="auto"/>
            <w:vAlign w:val="center"/>
            <w:hideMark/>
          </w:tcPr>
          <w:p w:rsidR="007253B5" w:rsidRPr="00EE78F4" w:rsidRDefault="007253B5" w:rsidP="007253B5">
            <w:pPr>
              <w:spacing w:after="60" w:line="240" w:lineRule="auto"/>
              <w:jc w:val="center"/>
              <w:rPr>
                <w:rFonts w:asciiTheme="majorHAnsi" w:eastAsia="Times New Roman" w:hAnsiTheme="majorHAnsi"/>
                <w:color w:val="000000"/>
                <w:sz w:val="18"/>
                <w:szCs w:val="18"/>
                <w:lang w:eastAsia="en-AU"/>
              </w:rPr>
            </w:pPr>
            <w:r w:rsidRPr="00EE78F4">
              <w:rPr>
                <w:rFonts w:asciiTheme="majorHAnsi" w:eastAsia="Times New Roman" w:hAnsiTheme="majorHAnsi"/>
                <w:color w:val="000000"/>
                <w:sz w:val="18"/>
                <w:szCs w:val="18"/>
                <w:lang w:eastAsia="en-AU"/>
              </w:rPr>
              <w:t>Modelled increase</w:t>
            </w:r>
            <w:r w:rsidR="00617E04">
              <w:rPr>
                <w:rFonts w:asciiTheme="majorHAnsi" w:eastAsia="Times New Roman" w:hAnsiTheme="majorHAnsi"/>
                <w:color w:val="000000"/>
                <w:sz w:val="18"/>
                <w:szCs w:val="18"/>
                <w:lang w:eastAsia="en-AU"/>
              </w:rPr>
              <w:br/>
            </w:r>
            <w:r w:rsidR="00617E04" w:rsidRPr="00C629A3">
              <w:rPr>
                <w:rFonts w:asciiTheme="majorHAnsi" w:eastAsia="Times New Roman" w:hAnsiTheme="majorHAnsi"/>
                <w:color w:val="000000"/>
                <w:sz w:val="14"/>
                <w:szCs w:val="14"/>
                <w:lang w:eastAsia="en-AU"/>
              </w:rPr>
              <w:t>(b, d)</w:t>
            </w:r>
          </w:p>
        </w:tc>
      </w:tr>
    </w:tbl>
    <w:p w:rsidR="00C629A3" w:rsidRDefault="007253B5" w:rsidP="007253B5">
      <w:pPr>
        <w:pStyle w:val="FigureTableNoteSource"/>
      </w:pPr>
      <w:r>
        <w:t xml:space="preserve">Note: </w:t>
      </w:r>
      <w:r w:rsidR="00C629A3">
        <w:t>(a) Water recovery target for the Murray-Darling Basin as a whole. (b) Water demand refers to irrigator’s willingness to pay for water. (c) Current market scenario is a reference case that assumes current water demand and supply conditions, and results differ from observed historical trends in prices and irrigation activity. (d) Water demand increases due to maturing of current almond plantings, and the effect of increased productivity and water use efficiency for farms participating in on-farm water recovery programs.</w:t>
      </w:r>
    </w:p>
    <w:p w:rsidR="007253B5" w:rsidRDefault="007253B5" w:rsidP="007253B5">
      <w:r>
        <w:t xml:space="preserve">The ABARES Water Trade Model is short-term and static in nature, and does not allow for future structural change (for example: changes in horticultural plantings, or reductions in the size of the dairy herd). Future changes in productivity or technological advancements are also not </w:t>
      </w:r>
      <w:r>
        <w:lastRenderedPageBreak/>
        <w:t>taken into account. Therefore, the results presented in this report are not forecasts of future water prices</w:t>
      </w:r>
      <w:r w:rsidR="00FD09D1">
        <w:t xml:space="preserve"> in specific years</w:t>
      </w:r>
      <w:r>
        <w:t xml:space="preserve">. </w:t>
      </w:r>
    </w:p>
    <w:p w:rsidR="007253B5" w:rsidRDefault="007253B5" w:rsidP="007253B5">
      <w:r>
        <w:t xml:space="preserve">However, the model can be used to assess scenarios and examine the effects of specific changes – such as those designed for the ‘future scenarios’. In this report, the model uses a historical climate sequence to provide a picture of how the market might perform under a range of water supply conditions, including dry, wet and average years. As such the results are best interpreted as a </w:t>
      </w:r>
      <w:r>
        <w:rPr>
          <w:i/>
        </w:rPr>
        <w:t>distribution</w:t>
      </w:r>
      <w:r>
        <w:t>, where each ‘year’ could be considered an individual scenario.</w:t>
      </w:r>
    </w:p>
    <w:p w:rsidR="007253B5" w:rsidRDefault="007253B5" w:rsidP="007253B5">
      <w:pPr>
        <w:pStyle w:val="Heading2"/>
        <w:numPr>
          <w:ilvl w:val="0"/>
          <w:numId w:val="0"/>
        </w:numPr>
        <w:ind w:left="720" w:hanging="720"/>
      </w:pPr>
      <w:bookmarkStart w:id="31" w:name="_Toc34735529"/>
      <w:r>
        <w:lastRenderedPageBreak/>
        <w:t>Results</w:t>
      </w:r>
      <w:bookmarkEnd w:id="31"/>
    </w:p>
    <w:p w:rsidR="002404DD" w:rsidRPr="002404DD" w:rsidRDefault="002404DD" w:rsidP="002404DD">
      <w:pPr>
        <w:pStyle w:val="Heading4"/>
        <w:numPr>
          <w:ilvl w:val="0"/>
          <w:numId w:val="0"/>
        </w:numPr>
        <w:ind w:left="964" w:hanging="964"/>
        <w:rPr>
          <w:lang w:eastAsia="ja-JP"/>
        </w:rPr>
      </w:pPr>
      <w:r>
        <w:rPr>
          <w:lang w:eastAsia="ja-JP"/>
        </w:rPr>
        <w:t xml:space="preserve">Water </w:t>
      </w:r>
      <w:r w:rsidR="00AE681D">
        <w:rPr>
          <w:lang w:eastAsia="ja-JP"/>
        </w:rPr>
        <w:t>supply</w:t>
      </w:r>
      <w:r>
        <w:rPr>
          <w:lang w:eastAsia="ja-JP"/>
        </w:rPr>
        <w:t xml:space="preserve"> for irrigation use will decrease</w:t>
      </w:r>
    </w:p>
    <w:p w:rsidR="007253B5" w:rsidRDefault="007253B5" w:rsidP="007253B5">
      <w:r>
        <w:t xml:space="preserve">One of the major changes considered in the ‘future scenarios’ is a decrease in irrigation water supply across the southern basin. In both scenarios, an additional 501.6 GL of water rights are assumed to be recovered across the MDB. Moreover in the future market (dry) scenario, climate change is assumed to further decrease rainfall and water supply (informed by previous assessments of future water availability undertaken by CSIRO 2008). </w:t>
      </w:r>
    </w:p>
    <w:p w:rsidR="007253B5" w:rsidRDefault="007253B5" w:rsidP="007253B5">
      <w:r>
        <w:t xml:space="preserve">The resulting distributions of future water supply in the southern basin can be seen in Figure 3. </w:t>
      </w:r>
      <w:r w:rsidR="00C36D89">
        <w:t>W</w:t>
      </w:r>
      <w:r>
        <w:t xml:space="preserve">ater availability </w:t>
      </w:r>
      <w:r w:rsidR="008C3D24">
        <w:t xml:space="preserve">for irrigation </w:t>
      </w:r>
      <w:r>
        <w:t>is expected to be lower in the future, decreasing on average by around 300 GL in the future market scenario, and 700 GL in the future market (dry) scenario, compared to the current market scenario. In the future market (dry) scenario, water supply across the southern basin is expected to be lower than 3800 GL in 8 out of 10 years. While the effects are spread across all catchments in the connected southern basin, the biggest decreases in water supply (before trade) occur in the SA Murray and the Vic. Murray.</w:t>
      </w:r>
    </w:p>
    <w:p w:rsidR="007253B5" w:rsidRDefault="007253B5" w:rsidP="007253B5">
      <w:pPr>
        <w:pStyle w:val="Caption"/>
      </w:pPr>
      <w:bookmarkStart w:id="32" w:name="_Toc25747091"/>
      <w:bookmarkStart w:id="33" w:name="_Toc33629220"/>
      <w:bookmarkStart w:id="34" w:name="_Toc33629253"/>
      <w:bookmarkStart w:id="35" w:name="_Toc33712863"/>
      <w:bookmarkStart w:id="36" w:name="_Toc34318697"/>
      <w:bookmarkStart w:id="37" w:name="_Toc34735549"/>
      <w:bookmarkStart w:id="38" w:name="_Toc34736252"/>
      <w:r>
        <w:t xml:space="preserve">Figure </w:t>
      </w:r>
      <w:r>
        <w:rPr>
          <w:noProof/>
        </w:rPr>
        <w:fldChar w:fldCharType="begin"/>
      </w:r>
      <w:r>
        <w:rPr>
          <w:noProof/>
        </w:rPr>
        <w:instrText xml:space="preserve"> SEQ Figure \* ARABIC </w:instrText>
      </w:r>
      <w:r>
        <w:rPr>
          <w:noProof/>
        </w:rPr>
        <w:fldChar w:fldCharType="separate"/>
      </w:r>
      <w:r w:rsidR="004D407F">
        <w:rPr>
          <w:noProof/>
        </w:rPr>
        <w:t>3</w:t>
      </w:r>
      <w:r>
        <w:rPr>
          <w:noProof/>
        </w:rPr>
        <w:fldChar w:fldCharType="end"/>
      </w:r>
      <w:r>
        <w:t xml:space="preserve"> Surface water supply distribution by scenario, southern Murray-Darling Basin</w:t>
      </w:r>
      <w:bookmarkEnd w:id="32"/>
      <w:bookmarkEnd w:id="33"/>
      <w:bookmarkEnd w:id="34"/>
      <w:bookmarkEnd w:id="35"/>
      <w:bookmarkEnd w:id="36"/>
      <w:bookmarkEnd w:id="37"/>
      <w:bookmarkEnd w:id="38"/>
    </w:p>
    <w:p w:rsidR="007253B5" w:rsidRDefault="007253B5" w:rsidP="007253B5">
      <w:pPr>
        <w:pStyle w:val="FigureTableNoteSource"/>
      </w:pPr>
      <w:r>
        <w:rPr>
          <w:noProof/>
          <w:lang w:eastAsia="en-AU"/>
        </w:rPr>
        <w:drawing>
          <wp:inline distT="0" distB="0" distL="0" distR="0" wp14:anchorId="747A82E9" wp14:editId="1AFD0D79">
            <wp:extent cx="5760000" cy="2518332"/>
            <wp:effectExtent l="0" t="0" r="0" b="0"/>
            <wp:docPr id="27" name="Picture 27" descr="C:\Users\gupta mihir\AppData\Local\Microsoft\Windows\INetCache\Content.Word\3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upta mihir\AppData\Local\Microsoft\Windows\INetCache\Content.Word\3a-0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7272"/>
                    <a:stretch/>
                  </pic:blipFill>
                  <pic:spPr bwMode="auto">
                    <a:xfrm>
                      <a:off x="0" y="0"/>
                      <a:ext cx="5760000" cy="2518332"/>
                    </a:xfrm>
                    <a:prstGeom prst="rect">
                      <a:avLst/>
                    </a:prstGeom>
                    <a:noFill/>
                    <a:ln>
                      <a:noFill/>
                    </a:ln>
                    <a:extLst>
                      <a:ext uri="{53640926-AAD7-44D8-BBD7-CCE9431645EC}">
                        <a14:shadowObscured xmlns:a14="http://schemas.microsoft.com/office/drawing/2010/main"/>
                      </a:ext>
                    </a:extLst>
                  </pic:spPr>
                </pic:pic>
              </a:graphicData>
            </a:graphic>
          </wp:inline>
        </w:drawing>
      </w:r>
      <w:r>
        <w:br/>
        <w:t>Note: Water supply levels shown in this chart only include major surface water entitlement rights and exclude ‘other water’ sources such as groundwater.</w:t>
      </w:r>
    </w:p>
    <w:p w:rsidR="002404DD" w:rsidRDefault="002404DD" w:rsidP="002404DD">
      <w:pPr>
        <w:pStyle w:val="Heading4"/>
        <w:numPr>
          <w:ilvl w:val="0"/>
          <w:numId w:val="0"/>
        </w:numPr>
        <w:ind w:left="964" w:hanging="964"/>
        <w:rPr>
          <w:lang w:eastAsia="ja-JP"/>
        </w:rPr>
      </w:pPr>
      <w:r>
        <w:rPr>
          <w:lang w:eastAsia="ja-JP"/>
        </w:rPr>
        <w:t>Demand for water will increase</w:t>
      </w:r>
    </w:p>
    <w:p w:rsidR="007253B5" w:rsidRPr="004451A5" w:rsidRDefault="007253B5" w:rsidP="007253B5">
      <w:r>
        <w:t xml:space="preserve">Anticipated changes in water demand are the other major driver of water allocation prices and inter-regional trade in the southern basin in the ‘future scenarios’. In both scenarios, the area planted with almond trees is not assumed to increase; however, all existing almond trees are assumed to be fully mature (bearing), thereby increasing the demand for water from the almond-growing industry. It is important to note that the proportion of bearing to non-bearing trees varies substantially by catchment. For example, in the Vic. Murray, almost all existing almond trees are bearing (around 95 per cent), while in the SA Murray, only around half of the existing trees are bearing. This has a considerable effect on </w:t>
      </w:r>
      <w:r>
        <w:rPr>
          <w:i/>
        </w:rPr>
        <w:t xml:space="preserve">where </w:t>
      </w:r>
      <w:r>
        <w:t>the demand for water increases in the future.</w:t>
      </w:r>
    </w:p>
    <w:p w:rsidR="007253B5" w:rsidRDefault="007253B5" w:rsidP="007253B5">
      <w:r>
        <w:lastRenderedPageBreak/>
        <w:t>Additionally, the future scenarios take into account an increase in farm productivity and water demand due to the effects of on-farm infrastructure upgrades.</w:t>
      </w:r>
    </w:p>
    <w:p w:rsidR="007253B5" w:rsidRDefault="007253B5" w:rsidP="007253B5">
      <w:pPr>
        <w:rPr>
          <w:highlight w:val="yellow"/>
        </w:rPr>
      </w:pPr>
      <w:r>
        <w:t xml:space="preserve">Taking these likely changes in water demand into account, Figure 4 presents the total water demand across the southern basin for prices between $1/ML and $1000/ML for each scenario. As shown, the demand for water increases in the ‘future scenarios’ compared to the current market scenario. The total demand for water is marginally higher in the future market (dry) scenario compared to the future market scenario due to marginally lower </w:t>
      </w:r>
      <w:r w:rsidR="00C36D89">
        <w:t xml:space="preserve">on-farm </w:t>
      </w:r>
      <w:r>
        <w:t>rainfall (</w:t>
      </w:r>
      <w:r w:rsidR="00C36D89">
        <w:t>a 3 per </w:t>
      </w:r>
      <w:r>
        <w:t xml:space="preserve">cent decrease </w:t>
      </w:r>
      <w:r w:rsidR="00C36D89">
        <w:t>is assumed</w:t>
      </w:r>
      <w:r>
        <w:t>).</w:t>
      </w:r>
    </w:p>
    <w:p w:rsidR="007253B5" w:rsidRDefault="007253B5" w:rsidP="007253B5">
      <w:pPr>
        <w:pStyle w:val="Caption"/>
      </w:pPr>
      <w:bookmarkStart w:id="39" w:name="_Toc25747092"/>
      <w:bookmarkStart w:id="40" w:name="_Toc33629221"/>
      <w:bookmarkStart w:id="41" w:name="_Toc33629254"/>
      <w:bookmarkStart w:id="42" w:name="_Toc33712864"/>
      <w:bookmarkStart w:id="43" w:name="_Toc34318698"/>
      <w:bookmarkStart w:id="44" w:name="_Toc34735550"/>
      <w:bookmarkStart w:id="45" w:name="_Toc34736253"/>
      <w:r>
        <w:t xml:space="preserve">Figure </w:t>
      </w:r>
      <w:r>
        <w:rPr>
          <w:noProof/>
        </w:rPr>
        <w:fldChar w:fldCharType="begin"/>
      </w:r>
      <w:r>
        <w:rPr>
          <w:noProof/>
        </w:rPr>
        <w:instrText xml:space="preserve"> SEQ Figure \* ARABIC </w:instrText>
      </w:r>
      <w:r>
        <w:rPr>
          <w:noProof/>
        </w:rPr>
        <w:fldChar w:fldCharType="separate"/>
      </w:r>
      <w:r w:rsidR="004D407F">
        <w:rPr>
          <w:noProof/>
        </w:rPr>
        <w:t>4</w:t>
      </w:r>
      <w:r>
        <w:rPr>
          <w:noProof/>
        </w:rPr>
        <w:fldChar w:fldCharType="end"/>
      </w:r>
      <w:r>
        <w:t xml:space="preserve"> Total water demand across the sMDB, by scenario</w:t>
      </w:r>
      <w:bookmarkEnd w:id="39"/>
      <w:bookmarkEnd w:id="40"/>
      <w:bookmarkEnd w:id="41"/>
      <w:bookmarkEnd w:id="42"/>
      <w:bookmarkEnd w:id="43"/>
      <w:bookmarkEnd w:id="44"/>
      <w:bookmarkEnd w:id="45"/>
    </w:p>
    <w:p w:rsidR="007253B5" w:rsidRDefault="007253B5" w:rsidP="007253B5">
      <w:pPr>
        <w:pStyle w:val="FigureTableNoteSource"/>
      </w:pPr>
      <w:r>
        <w:rPr>
          <w:noProof/>
          <w:lang w:eastAsia="en-AU"/>
        </w:rPr>
        <w:drawing>
          <wp:inline distT="0" distB="0" distL="0" distR="0" wp14:anchorId="78FA92ED" wp14:editId="3FE3823D">
            <wp:extent cx="5760000" cy="2536992"/>
            <wp:effectExtent l="0" t="0" r="0" b="0"/>
            <wp:docPr id="20" name="Picture 20" descr="C:\Users\gupta mihir\AppData\Local\Microsoft\Windows\INetCache\Content.Word\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upta mihir\AppData\Local\Microsoft\Windows\INetCache\Content.Word\4-0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9378"/>
                    <a:stretch/>
                  </pic:blipFill>
                  <pic:spPr bwMode="auto">
                    <a:xfrm>
                      <a:off x="0" y="0"/>
                      <a:ext cx="5760000" cy="2536992"/>
                    </a:xfrm>
                    <a:prstGeom prst="rect">
                      <a:avLst/>
                    </a:prstGeom>
                    <a:noFill/>
                    <a:ln>
                      <a:noFill/>
                    </a:ln>
                    <a:extLst>
                      <a:ext uri="{53640926-AAD7-44D8-BBD7-CCE9431645EC}">
                        <a14:shadowObscured xmlns:a14="http://schemas.microsoft.com/office/drawing/2010/main"/>
                      </a:ext>
                    </a:extLst>
                  </pic:spPr>
                </pic:pic>
              </a:graphicData>
            </a:graphic>
          </wp:inline>
        </w:drawing>
      </w:r>
      <w:r>
        <w:br/>
        <w:t>Note: Rainfall is fixed at average over seasonal conditions, and the time trend and commodity prices are set to 2018–19 values.</w:t>
      </w:r>
    </w:p>
    <w:p w:rsidR="002404DD" w:rsidRPr="002404DD" w:rsidRDefault="002404DD" w:rsidP="002404DD">
      <w:pPr>
        <w:pStyle w:val="Heading4"/>
        <w:numPr>
          <w:ilvl w:val="0"/>
          <w:numId w:val="0"/>
        </w:numPr>
        <w:ind w:left="964" w:hanging="964"/>
        <w:rPr>
          <w:lang w:eastAsia="ja-JP"/>
        </w:rPr>
      </w:pPr>
      <w:r>
        <w:rPr>
          <w:lang w:eastAsia="ja-JP"/>
        </w:rPr>
        <w:t>Prices will likely be higher</w:t>
      </w:r>
    </w:p>
    <w:p w:rsidR="003957C3" w:rsidRDefault="007253B5" w:rsidP="003957C3">
      <w:r>
        <w:t>Figure 5 shows the distribution for modelled water allocation prices in the southern Murray-Darling Basin. Compared to the current market scenario, there is a significant increase in water prices i</w:t>
      </w:r>
      <w:r w:rsidR="003957C3">
        <w:t xml:space="preserve">n each of the future scenarios. </w:t>
      </w:r>
      <w:r w:rsidR="00504FB1">
        <w:t>In the future market scenario, on average, around two-thirds of the increase in prices is attributed to the additional recovery of water through on-farm programs, while a third is attributed to greater water demand from the almonds sector</w:t>
      </w:r>
      <w:r w:rsidR="003957C3">
        <w:t>.</w:t>
      </w:r>
      <w:r>
        <w:t xml:space="preserve"> </w:t>
      </w:r>
    </w:p>
    <w:p w:rsidR="007253B5" w:rsidRDefault="007253B5" w:rsidP="007253B5">
      <w:r>
        <w:t>While the average annual price in 2018–19 (around $445/ML) would be considered high in the current market scenario, occurring in just 3 out of 10 years, the same price would be considered an average price in the future market (dry) scenario, occurring much more frequently.</w:t>
      </w:r>
      <w:r w:rsidR="003957C3">
        <w:t xml:space="preserve"> </w:t>
      </w:r>
      <w:r>
        <w:t xml:space="preserve">Importantly, the range for water prices in both ‘future scenarios’ is also considerably higher; prices above $200/ML were modelled in 8 out of 10 years in the future market scenario, and in all years in the future market (dry) scenario (see Table </w:t>
      </w:r>
      <w:r w:rsidR="006F7B0E">
        <w:t>B1</w:t>
      </w:r>
      <w:r w:rsidR="00A227CC">
        <w:t xml:space="preserve"> and B5</w:t>
      </w:r>
      <w:r>
        <w:t xml:space="preserve">). This will likely place some pressure on irrigation industries such as dairy and rice, which have historically </w:t>
      </w:r>
      <w:r w:rsidR="004A4727">
        <w:t xml:space="preserve">used much less water than other sectors, </w:t>
      </w:r>
      <w:r>
        <w:t xml:space="preserve">during years with </w:t>
      </w:r>
      <w:r w:rsidR="004A4727">
        <w:t>high</w:t>
      </w:r>
      <w:r>
        <w:t xml:space="preserve"> water prices. </w:t>
      </w:r>
    </w:p>
    <w:p w:rsidR="00484908" w:rsidRDefault="00A10873" w:rsidP="00484908">
      <w:r>
        <w:t>The economic impact of higher water prices on irrigators will vary substantially between individuals. F</w:t>
      </w:r>
      <w:r w:rsidR="00D507CA">
        <w:t xml:space="preserve">armers who have made the decision to own much of the water they use will most likely be better off if water prices increase – both in terms of income and wealth – while farmers who rely heavily on purchasing water allocations will likely be worse off. Detailed analysis of water ownership and use is beyond the scope of this </w:t>
      </w:r>
      <w:r w:rsidR="008A5A4B">
        <w:t>analysis</w:t>
      </w:r>
      <w:r w:rsidR="00D507CA">
        <w:t>.</w:t>
      </w:r>
      <w:r w:rsidR="00484908">
        <w:t xml:space="preserve"> </w:t>
      </w:r>
    </w:p>
    <w:p w:rsidR="00D507CA" w:rsidRDefault="00D507CA" w:rsidP="00D507CA">
      <w:r>
        <w:lastRenderedPageBreak/>
        <w:t>It is worth noting that results are presented here as average annual prices across the southern basin. Prices typically vary across catchments when trade constraints are binding and can also vary substantially within each water year.</w:t>
      </w:r>
    </w:p>
    <w:p w:rsidR="007253B5" w:rsidRDefault="007253B5" w:rsidP="007253B5">
      <w:pPr>
        <w:pStyle w:val="Caption"/>
      </w:pPr>
      <w:bookmarkStart w:id="46" w:name="_Toc25747093"/>
      <w:bookmarkStart w:id="47" w:name="_Toc33629222"/>
      <w:bookmarkStart w:id="48" w:name="_Toc33629255"/>
      <w:bookmarkStart w:id="49" w:name="_Toc33712865"/>
      <w:bookmarkStart w:id="50" w:name="_Toc34318699"/>
      <w:bookmarkStart w:id="51" w:name="_Toc34735551"/>
      <w:bookmarkStart w:id="52" w:name="_Toc34736254"/>
      <w:r>
        <w:t xml:space="preserve">Figure </w:t>
      </w:r>
      <w:r>
        <w:rPr>
          <w:noProof/>
        </w:rPr>
        <w:fldChar w:fldCharType="begin"/>
      </w:r>
      <w:r>
        <w:rPr>
          <w:noProof/>
        </w:rPr>
        <w:instrText xml:space="preserve"> SEQ Figure \* ARABIC </w:instrText>
      </w:r>
      <w:r>
        <w:rPr>
          <w:noProof/>
        </w:rPr>
        <w:fldChar w:fldCharType="separate"/>
      </w:r>
      <w:r w:rsidR="004D407F">
        <w:rPr>
          <w:noProof/>
        </w:rPr>
        <w:t>5</w:t>
      </w:r>
      <w:r>
        <w:rPr>
          <w:noProof/>
        </w:rPr>
        <w:fldChar w:fldCharType="end"/>
      </w:r>
      <w:r>
        <w:t xml:space="preserve"> Weighted water allocation price by scenario, southern Murray-Darling Basin</w:t>
      </w:r>
      <w:bookmarkEnd w:id="46"/>
      <w:bookmarkEnd w:id="47"/>
      <w:bookmarkEnd w:id="48"/>
      <w:bookmarkEnd w:id="49"/>
      <w:bookmarkEnd w:id="50"/>
      <w:bookmarkEnd w:id="51"/>
      <w:bookmarkEnd w:id="52"/>
    </w:p>
    <w:p w:rsidR="007253B5" w:rsidRDefault="007253B5" w:rsidP="007253B5">
      <w:r>
        <w:rPr>
          <w:noProof/>
          <w:lang w:eastAsia="en-AU"/>
        </w:rPr>
        <w:drawing>
          <wp:inline distT="0" distB="0" distL="0" distR="0" wp14:anchorId="1608269E" wp14:editId="51BE47AD">
            <wp:extent cx="5759379" cy="2398143"/>
            <wp:effectExtent l="0" t="0" r="0" b="2540"/>
            <wp:docPr id="10" name="Picture 10" descr="C:\Users\gupta mihir\AppData\Local\Microsoft\Windows\INetCache\Content.Word\5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pta mihir\AppData\Local\Microsoft\Windows\INetCache\Content.Word\5a-0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985" b="2413"/>
                    <a:stretch/>
                  </pic:blipFill>
                  <pic:spPr bwMode="auto">
                    <a:xfrm>
                      <a:off x="0" y="0"/>
                      <a:ext cx="5760000" cy="2398402"/>
                    </a:xfrm>
                    <a:prstGeom prst="rect">
                      <a:avLst/>
                    </a:prstGeom>
                    <a:noFill/>
                    <a:ln>
                      <a:noFill/>
                    </a:ln>
                    <a:extLst>
                      <a:ext uri="{53640926-AAD7-44D8-BBD7-CCE9431645EC}">
                        <a14:shadowObscured xmlns:a14="http://schemas.microsoft.com/office/drawing/2010/main"/>
                      </a:ext>
                    </a:extLst>
                  </pic:spPr>
                </pic:pic>
              </a:graphicData>
            </a:graphic>
          </wp:inline>
        </w:drawing>
      </w:r>
    </w:p>
    <w:p w:rsidR="00AE681D" w:rsidRDefault="00AE681D" w:rsidP="00AE681D">
      <w:pPr>
        <w:pStyle w:val="Heading4"/>
        <w:numPr>
          <w:ilvl w:val="0"/>
          <w:numId w:val="0"/>
        </w:numPr>
        <w:ind w:left="964" w:hanging="964"/>
      </w:pPr>
      <w:r>
        <w:t>Allocation prices are sensitive to changes in rainfall and supply</w:t>
      </w:r>
    </w:p>
    <w:p w:rsidR="00AE681D" w:rsidRDefault="00395AEF" w:rsidP="00AE681D">
      <w:r>
        <w:t>In the f</w:t>
      </w:r>
      <w:r w:rsidR="00AE681D">
        <w:t xml:space="preserve">uture market (dry) scenario, seasonal conditions are assumed to be drier </w:t>
      </w:r>
      <w:r w:rsidR="00912191">
        <w:t xml:space="preserve">than historically observed. A 3 per cent </w:t>
      </w:r>
      <w:r w:rsidR="00AE681D">
        <w:t>decrease in rainfall is assumed, leading to greater demand for irrigation water</w:t>
      </w:r>
      <w:r w:rsidR="00912191">
        <w:t>, as well as an 11 per cent decrease in surface water supply. These assumptions are consistent with assessments of future water availability undertaken by CSIRO (2008).</w:t>
      </w:r>
    </w:p>
    <w:p w:rsidR="00146850" w:rsidRDefault="00395AEF" w:rsidP="00146850">
      <w:r>
        <w:t>Allocation prices are quite sensitive to changes in rainfall and water supply, increasing by 17 per cent on average in the future market (dry) scenario, compared to the future market scenario.</w:t>
      </w:r>
      <w:r w:rsidR="00146850">
        <w:t xml:space="preserve"> </w:t>
      </w:r>
      <w:r w:rsidR="00484908">
        <w:t xml:space="preserve">Most </w:t>
      </w:r>
      <w:r w:rsidR="00B14671">
        <w:t>of this increase</w:t>
      </w:r>
      <w:r w:rsidR="00484908">
        <w:t xml:space="preserve"> (around 90%)</w:t>
      </w:r>
      <w:r w:rsidR="00B14671">
        <w:t xml:space="preserve"> is due to a reduction in the availability of surface water.</w:t>
      </w:r>
    </w:p>
    <w:p w:rsidR="00C36D89" w:rsidRPr="00AE681D" w:rsidRDefault="00C36D89" w:rsidP="00146850">
      <w:r>
        <w:t>It is possible that the drought conditions experienced in 2019–20 (or in other years in the future) could be wetter or drier than those observed historically or assumed in the future market (dry) scenario, and therefore prices could be lower or higher than the ranges presented in this report.</w:t>
      </w:r>
    </w:p>
    <w:p w:rsidR="002404DD" w:rsidRPr="002404DD" w:rsidRDefault="002404DD" w:rsidP="002404DD">
      <w:pPr>
        <w:pStyle w:val="Heading4"/>
        <w:numPr>
          <w:ilvl w:val="0"/>
          <w:numId w:val="0"/>
        </w:numPr>
        <w:ind w:left="964" w:hanging="964"/>
        <w:rPr>
          <w:lang w:eastAsia="ja-JP"/>
        </w:rPr>
      </w:pPr>
      <w:r>
        <w:rPr>
          <w:lang w:eastAsia="ja-JP"/>
        </w:rPr>
        <w:t>Water use in traditional irrigation sectors will decrease</w:t>
      </w:r>
    </w:p>
    <w:p w:rsidR="007253B5" w:rsidRDefault="007253B5" w:rsidP="007253B5">
      <w:r>
        <w:t xml:space="preserve">The average annual future water use across the southern basin is presented by activity in </w:t>
      </w:r>
      <w:r w:rsidRPr="00A8431F">
        <w:t>Figure</w:t>
      </w:r>
      <w:r>
        <w:t> </w:t>
      </w:r>
      <w:r w:rsidRPr="00A8431F">
        <w:t>6</w:t>
      </w:r>
      <w:r>
        <w:t xml:space="preserve">. Total water use is expected to decrease by around 3 per cent in the future market scenario and 12 per cent in the future market (dry) scenario compared to the current market scenario. The changes in average water use across the southern basin are </w:t>
      </w:r>
      <w:r w:rsidR="008C3D24">
        <w:t>smaller than</w:t>
      </w:r>
      <w:r>
        <w:t xml:space="preserve"> the changes in water supply described </w:t>
      </w:r>
      <w:r w:rsidR="008C3D24">
        <w:t>in Figure 3</w:t>
      </w:r>
      <w:r>
        <w:t xml:space="preserve">, </w:t>
      </w:r>
      <w:r w:rsidR="008C3D24">
        <w:t>as there</w:t>
      </w:r>
      <w:r>
        <w:t xml:space="preserve"> are also other sources for water supply (such as groundwater and on-farm storages) which are accounted for in the model.</w:t>
      </w:r>
    </w:p>
    <w:p w:rsidR="007253B5" w:rsidRDefault="007253B5" w:rsidP="007253B5">
      <w:r>
        <w:t xml:space="preserve">Water markets in the southern basin have evolved to facilitate the flow of water towards its highest value use. </w:t>
      </w:r>
      <w:r w:rsidR="00C36D89">
        <w:t>Despite</w:t>
      </w:r>
      <w:r>
        <w:t xml:space="preserve"> the decrease in total water use (and water supply), there is a significant increase in water use for almonds (around 41 per cent compared to the current market scenario), as water is redirected from other irrigation activities such as rice (which decreases on average by 15 and 31 per cent in the future market and future market (dry) </w:t>
      </w:r>
      <w:r>
        <w:lastRenderedPageBreak/>
        <w:t xml:space="preserve">scenarios respectively) and dairy (decreases on average by 14 and 24 per cent in the future market and future market (dry) </w:t>
      </w:r>
      <w:r w:rsidR="006F7B0E">
        <w:t xml:space="preserve">scenarios respectively). </w:t>
      </w:r>
      <w:r w:rsidR="00372889" w:rsidRPr="00372889">
        <w:t xml:space="preserve">In dry years, more significant decreases are predicted for these sectors, with dairy and rice </w:t>
      </w:r>
      <w:r w:rsidR="00372889">
        <w:t xml:space="preserve">water use </w:t>
      </w:r>
      <w:r w:rsidR="00372889" w:rsidRPr="00372889">
        <w:t>decreasing by up to 55 per cent and 32 per cent respectively.</w:t>
      </w:r>
      <w:r w:rsidR="00372889">
        <w:t xml:space="preserve"> </w:t>
      </w:r>
      <w:r w:rsidR="006F7B0E">
        <w:t>Table B4</w:t>
      </w:r>
      <w:r>
        <w:t xml:space="preserve"> shows the modelled change in water use by catchment.</w:t>
      </w:r>
    </w:p>
    <w:p w:rsidR="007253B5" w:rsidRDefault="007253B5" w:rsidP="007253B5">
      <w:pPr>
        <w:pStyle w:val="Caption"/>
      </w:pPr>
      <w:bookmarkStart w:id="53" w:name="_Toc25747094"/>
      <w:bookmarkStart w:id="54" w:name="_Toc33629223"/>
      <w:bookmarkStart w:id="55" w:name="_Toc33629256"/>
      <w:bookmarkStart w:id="56" w:name="_Toc33712866"/>
      <w:bookmarkStart w:id="57" w:name="_Toc34318700"/>
      <w:bookmarkStart w:id="58" w:name="_Toc34735552"/>
      <w:bookmarkStart w:id="59" w:name="_Toc34736255"/>
      <w:r>
        <w:t xml:space="preserve">Figure </w:t>
      </w:r>
      <w:r>
        <w:rPr>
          <w:noProof/>
        </w:rPr>
        <w:fldChar w:fldCharType="begin"/>
      </w:r>
      <w:r>
        <w:rPr>
          <w:noProof/>
        </w:rPr>
        <w:instrText xml:space="preserve"> SEQ Figure \* ARABIC </w:instrText>
      </w:r>
      <w:r>
        <w:rPr>
          <w:noProof/>
        </w:rPr>
        <w:fldChar w:fldCharType="separate"/>
      </w:r>
      <w:r w:rsidR="004D407F">
        <w:rPr>
          <w:noProof/>
        </w:rPr>
        <w:t>6</w:t>
      </w:r>
      <w:r>
        <w:rPr>
          <w:noProof/>
        </w:rPr>
        <w:fldChar w:fldCharType="end"/>
      </w:r>
      <w:r>
        <w:t xml:space="preserve"> Average water use by scenario, southern Murray-Darling Basin</w:t>
      </w:r>
      <w:bookmarkEnd w:id="53"/>
      <w:bookmarkEnd w:id="54"/>
      <w:bookmarkEnd w:id="55"/>
      <w:bookmarkEnd w:id="56"/>
      <w:bookmarkEnd w:id="57"/>
      <w:bookmarkEnd w:id="58"/>
      <w:bookmarkEnd w:id="59"/>
    </w:p>
    <w:p w:rsidR="007253B5" w:rsidRDefault="00EE2971" w:rsidP="007253B5">
      <w:r>
        <w:rPr>
          <w:noProof/>
          <w:lang w:eastAsia="en-AU"/>
        </w:rPr>
        <w:drawing>
          <wp:inline distT="0" distB="0" distL="0" distR="0">
            <wp:extent cx="5760000" cy="2407493"/>
            <wp:effectExtent l="0" t="0" r="0" b="0"/>
            <wp:docPr id="9" name="Picture 9" descr="C:\Users\gupta mihir\AppData\Local\Microsoft\Windows\INetCache\Content.Word\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pta mihir\AppData\Local\Microsoft\Windows\INetCache\Content.Word\6-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407493"/>
                    </a:xfrm>
                    <a:prstGeom prst="rect">
                      <a:avLst/>
                    </a:prstGeom>
                    <a:noFill/>
                    <a:ln>
                      <a:noFill/>
                    </a:ln>
                  </pic:spPr>
                </pic:pic>
              </a:graphicData>
            </a:graphic>
          </wp:inline>
        </w:drawing>
      </w:r>
    </w:p>
    <w:p w:rsidR="007253B5" w:rsidRDefault="007253B5" w:rsidP="007253B5">
      <w:r>
        <w:t xml:space="preserve">Recently there has been significant concern that during a drought, there would be insufficient water to meet the demand from horticultural plantings (fruits, nuts and grapevines), thereby significantly driving up prices. </w:t>
      </w:r>
      <w:r w:rsidR="00A31E0F">
        <w:t>While the</w:t>
      </w:r>
      <w:r>
        <w:t xml:space="preserve"> results from the Water Trade Model suggest that </w:t>
      </w:r>
      <w:r w:rsidR="00A31E0F">
        <w:t xml:space="preserve">water supply (including both surface water and other sources such as groundwater) is sufficient to meet annual horticultural demand (based on observed almond plantings in 2018-19) in all scenarios, in practice there remains some risk of supply shortfalls within each water year, particularly if future conditions are drier than modelled or trade constraints are tightened. </w:t>
      </w:r>
    </w:p>
    <w:p w:rsidR="007253B5" w:rsidRDefault="007253B5" w:rsidP="007253B5">
      <w:r>
        <w:t xml:space="preserve">Note these results are based on estimates of existing almond plantations and do not consider additional almond plantings in the future. Furthermore, the Water Trade Model relies on annual data and does not provide insights for day to day water trading and irrigation activity. </w:t>
      </w:r>
    </w:p>
    <w:p w:rsidR="003E32BA" w:rsidRDefault="00901F77" w:rsidP="00901F77">
      <w:pPr>
        <w:pStyle w:val="Caption"/>
      </w:pPr>
      <w:bookmarkStart w:id="60" w:name="_Toc408574836"/>
      <w:bookmarkStart w:id="61" w:name="_Toc33629224"/>
      <w:bookmarkStart w:id="62" w:name="_Toc33629257"/>
      <w:bookmarkStart w:id="63" w:name="_Toc33712867"/>
      <w:bookmarkStart w:id="64" w:name="_Toc34318701"/>
      <w:bookmarkStart w:id="65" w:name="_Toc34735553"/>
      <w:bookmarkStart w:id="66" w:name="_Toc34735580"/>
      <w:r>
        <w:t xml:space="preserve">Box </w:t>
      </w:r>
      <w:r>
        <w:rPr>
          <w:noProof/>
        </w:rPr>
        <w:fldChar w:fldCharType="begin"/>
      </w:r>
      <w:r>
        <w:rPr>
          <w:noProof/>
        </w:rPr>
        <w:instrText xml:space="preserve"> SEQ Box \* ARABIC </w:instrText>
      </w:r>
      <w:r>
        <w:rPr>
          <w:noProof/>
        </w:rPr>
        <w:fldChar w:fldCharType="separate"/>
      </w:r>
      <w:r w:rsidR="004D407F">
        <w:rPr>
          <w:noProof/>
        </w:rPr>
        <w:t>1</w:t>
      </w:r>
      <w:r>
        <w:rPr>
          <w:noProof/>
        </w:rPr>
        <w:fldChar w:fldCharType="end"/>
      </w:r>
      <w:r>
        <w:t xml:space="preserve"> </w:t>
      </w:r>
      <w:bookmarkEnd w:id="60"/>
      <w:r>
        <w:t>Variation in water use is particularly pronounced in traditional irrigation sectors</w:t>
      </w:r>
      <w:bookmarkEnd w:id="61"/>
      <w:bookmarkEnd w:id="62"/>
      <w:bookmarkEnd w:id="63"/>
      <w:bookmarkEnd w:id="64"/>
      <w:bookmarkEnd w:id="65"/>
      <w:bookmarkEnd w:id="66"/>
    </w:p>
    <w:tbl>
      <w:tblPr>
        <w:tblStyle w:val="TableGrid"/>
        <w:tblW w:w="0" w:type="auto"/>
        <w:tblLook w:val="04A0" w:firstRow="1" w:lastRow="0" w:firstColumn="1" w:lastColumn="0" w:noHBand="0" w:noVBand="1"/>
      </w:tblPr>
      <w:tblGrid>
        <w:gridCol w:w="9060"/>
      </w:tblGrid>
      <w:tr w:rsidR="003E32BA" w:rsidTr="003E32BA">
        <w:tc>
          <w:tcPr>
            <w:tcW w:w="9060" w:type="dxa"/>
          </w:tcPr>
          <w:p w:rsidR="00885F29" w:rsidRDefault="00885F29" w:rsidP="00AC634C">
            <w:r>
              <w:t>On average, water use in the dairy industry is lower by around 69 GL in the future market scenario and 116 GL in the future market (dry) scenario, compared to the current market scenario</w:t>
            </w:r>
            <w:r w:rsidR="009272F2">
              <w:t xml:space="preserve"> (average annual water use of 486 GL)</w:t>
            </w:r>
            <w:r>
              <w:t>. However, dairy</w:t>
            </w:r>
            <w:r w:rsidR="003E32BA" w:rsidRPr="002723F5">
              <w:t xml:space="preserve"> water use </w:t>
            </w:r>
            <w:r w:rsidR="002B2225">
              <w:t xml:space="preserve">(and water use in other traditional sectors such as rice) </w:t>
            </w:r>
            <w:r w:rsidR="003E32BA" w:rsidRPr="002723F5">
              <w:t>varies considerably depending on seasonal conditions</w:t>
            </w:r>
            <w:r>
              <w:t xml:space="preserve"> and water prices</w:t>
            </w:r>
            <w:r w:rsidR="003E32BA" w:rsidRPr="002723F5">
              <w:t>.</w:t>
            </w:r>
            <w:r w:rsidR="002723F5" w:rsidRPr="002723F5">
              <w:t xml:space="preserve"> </w:t>
            </w:r>
            <w:r w:rsidR="00461E52">
              <w:t xml:space="preserve">Figures 7 and 8 </w:t>
            </w:r>
            <w:r w:rsidR="00EE2971">
              <w:t>show</w:t>
            </w:r>
            <w:r w:rsidR="00461E52">
              <w:t xml:space="preserve"> the distribution of water use in the dairy sector</w:t>
            </w:r>
            <w:r w:rsidR="00F43BA0">
              <w:t xml:space="preserve"> in each scenario</w:t>
            </w:r>
            <w:r w:rsidR="00461E52">
              <w:t xml:space="preserve">, </w:t>
            </w:r>
            <w:r w:rsidR="00F43BA0">
              <w:t xml:space="preserve">and how it varies </w:t>
            </w:r>
            <w:r w:rsidR="00461E52">
              <w:t>across representative ‘wet’</w:t>
            </w:r>
            <w:r w:rsidR="00F43BA0">
              <w:t xml:space="preserve"> or </w:t>
            </w:r>
            <w:r w:rsidR="00461E52">
              <w:t>‘dry’</w:t>
            </w:r>
            <w:r w:rsidR="00F43BA0">
              <w:t xml:space="preserve"> years (each </w:t>
            </w:r>
            <w:r w:rsidR="00461E52">
              <w:t>occurring in 2 out of 10</w:t>
            </w:r>
            <w:r w:rsidR="00F43BA0">
              <w:t xml:space="preserve"> years in the future) and ‘average’ years (occurring in 6 out of 10 years in the future).</w:t>
            </w:r>
          </w:p>
          <w:p w:rsidR="00F43BA0" w:rsidRPr="00F43BA0" w:rsidRDefault="00F43BA0" w:rsidP="00F43BA0">
            <w:pPr>
              <w:spacing w:after="0"/>
              <w:rPr>
                <w:b/>
              </w:rPr>
            </w:pPr>
            <w:r>
              <w:rPr>
                <w:b/>
              </w:rPr>
              <w:t xml:space="preserve">Traditional irrigation sectors are more sensitive to </w:t>
            </w:r>
            <w:r w:rsidR="001804A4">
              <w:rPr>
                <w:b/>
              </w:rPr>
              <w:t>high</w:t>
            </w:r>
            <w:r>
              <w:rPr>
                <w:b/>
              </w:rPr>
              <w:t xml:space="preserve"> prices</w:t>
            </w:r>
          </w:p>
          <w:p w:rsidR="00F43BA0" w:rsidRDefault="002723F5" w:rsidP="00AC634C">
            <w:r w:rsidRPr="002723F5">
              <w:t xml:space="preserve">During the past decade, irrigated </w:t>
            </w:r>
            <w:r w:rsidR="00EE2971">
              <w:t>pastures (predominantly used for dairy production in the sMDB)</w:t>
            </w:r>
            <w:r w:rsidRPr="002723F5">
              <w:t xml:space="preserve"> has become an increasingly opportunistic activity, relying on relatively low water prices for profitable returns. </w:t>
            </w:r>
            <w:r w:rsidR="002B2225">
              <w:t xml:space="preserve">A recent survey of dairy farmers in the Goulburn-Murray Irrigation district suggested most (56%) would not consider purchasing water at prices above </w:t>
            </w:r>
            <w:r w:rsidR="002B2225">
              <w:lastRenderedPageBreak/>
              <w:t xml:space="preserve">$200/ML (Dairy Australia 2017). </w:t>
            </w:r>
            <w:r w:rsidR="00E04471">
              <w:t xml:space="preserve">In part, this </w:t>
            </w:r>
            <w:r w:rsidR="00CE11A6">
              <w:t xml:space="preserve">also </w:t>
            </w:r>
            <w:r w:rsidR="00E04471">
              <w:t>reflects the capacity for dairy farmers to use purchased fodder in place of irrigated pastures when water prices are high.</w:t>
            </w:r>
          </w:p>
          <w:p w:rsidR="00F43BA0" w:rsidRPr="00F43BA0" w:rsidRDefault="00F43BA0" w:rsidP="00F43BA0">
            <w:pPr>
              <w:spacing w:after="0"/>
              <w:rPr>
                <w:b/>
              </w:rPr>
            </w:pPr>
            <w:r>
              <w:rPr>
                <w:b/>
              </w:rPr>
              <w:t>High water prices are more likely in the future</w:t>
            </w:r>
          </w:p>
          <w:p w:rsidR="001804A4" w:rsidRDefault="001804A4" w:rsidP="00AC634C">
            <w:r>
              <w:t xml:space="preserve">In the future market scenarios, higher water prices are </w:t>
            </w:r>
            <w:r w:rsidR="00AC1EB8">
              <w:t xml:space="preserve">generally </w:t>
            </w:r>
            <w:r>
              <w:t xml:space="preserve">more likely, and </w:t>
            </w:r>
            <w:r w:rsidR="00AC1EB8">
              <w:t xml:space="preserve">a greater increase in </w:t>
            </w:r>
            <w:r>
              <w:t xml:space="preserve">prices </w:t>
            </w:r>
            <w:r w:rsidR="00AC1EB8">
              <w:t>is modelled</w:t>
            </w:r>
            <w:r>
              <w:t xml:space="preserve"> in dry years compared to the current market scenario. This leads to an overall decrease in water use in the dairy sector, which is particularly pronounced in dry years (as shown in Figure 7 for all modelled scenarios).</w:t>
            </w:r>
          </w:p>
          <w:p w:rsidR="00A9732C" w:rsidRDefault="001804A4" w:rsidP="00AC634C">
            <w:r>
              <w:t>However, there is considerable variation in water use in this sector, even in dry years.</w:t>
            </w:r>
            <w:r w:rsidR="009272F2">
              <w:t xml:space="preserve"> </w:t>
            </w:r>
            <w:r>
              <w:t>Dairy water use was</w:t>
            </w:r>
            <w:r w:rsidR="00F43BA0">
              <w:t xml:space="preserve"> modelled to decrease by 38 per cent on average in dry years (Figure 8) </w:t>
            </w:r>
            <w:r w:rsidR="001243EA">
              <w:t>in the future market scenario (</w:t>
            </w:r>
            <w:r w:rsidR="00F43BA0">
              <w:t>up to a maximum of 55 per cent</w:t>
            </w:r>
            <w:r>
              <w:t xml:space="preserve"> </w:t>
            </w:r>
            <w:r w:rsidR="001243EA">
              <w:t>in the driest year),</w:t>
            </w:r>
            <w:r>
              <w:t xml:space="preserve"> compared to the current market scenario. </w:t>
            </w:r>
            <w:r w:rsidR="00F43BA0">
              <w:t>Overall,</w:t>
            </w:r>
            <w:r w:rsidR="009272F2">
              <w:t xml:space="preserve"> dairy water use decreases by </w:t>
            </w:r>
            <w:r w:rsidR="00F43BA0">
              <w:t xml:space="preserve">an average of </w:t>
            </w:r>
            <w:r w:rsidR="009272F2">
              <w:t>14 per cent and 24 per cent in the future market and future market (dry) scenarios respectively</w:t>
            </w:r>
            <w:r w:rsidR="00F43BA0">
              <w:t>, compared to the current market scenario (Figure 8)</w:t>
            </w:r>
            <w:r w:rsidR="009272F2">
              <w:t xml:space="preserve">. </w:t>
            </w:r>
          </w:p>
          <w:p w:rsidR="00CE11A6" w:rsidRDefault="00AF46A9" w:rsidP="00AC634C">
            <w:r>
              <w:t>The</w:t>
            </w:r>
            <w:r w:rsidR="00CE11A6">
              <w:t xml:space="preserve"> results suggest </w:t>
            </w:r>
            <w:r>
              <w:t xml:space="preserve">that </w:t>
            </w:r>
            <w:r w:rsidR="00CE11A6">
              <w:t xml:space="preserve">the irrigated dairy sector in the southern basin is likely to face continued adjustment pressure in the future. It is important to recognise however, that this </w:t>
            </w:r>
            <w:r>
              <w:t>analysis</w:t>
            </w:r>
            <w:r w:rsidR="00CE11A6">
              <w:t xml:space="preserve"> does not incorpo</w:t>
            </w:r>
            <w:r w:rsidR="008A5A4B">
              <w:t>rate responses from farmers</w:t>
            </w:r>
            <w:r w:rsidR="00CE11A6">
              <w:t xml:space="preserve"> that would offset higher water prices (for example, technological change</w:t>
            </w:r>
            <w:r>
              <w:t xml:space="preserve">), </w:t>
            </w:r>
            <w:r w:rsidR="007774F9">
              <w:t xml:space="preserve">structural changes in the industry, </w:t>
            </w:r>
            <w:r>
              <w:t xml:space="preserve">or </w:t>
            </w:r>
            <w:r w:rsidR="007774F9">
              <w:t>future</w:t>
            </w:r>
            <w:r>
              <w:t xml:space="preserve"> </w:t>
            </w:r>
            <w:r w:rsidR="008A5A4B">
              <w:t>dairy</w:t>
            </w:r>
            <w:r>
              <w:t xml:space="preserve"> prices. </w:t>
            </w:r>
          </w:p>
          <w:p w:rsidR="003E32BA" w:rsidRDefault="003E32BA" w:rsidP="003E32BA">
            <w:pPr>
              <w:pStyle w:val="Caption"/>
            </w:pPr>
            <w:bookmarkStart w:id="67" w:name="_Toc33629225"/>
            <w:bookmarkStart w:id="68" w:name="_Toc33629258"/>
            <w:bookmarkStart w:id="69" w:name="_Toc33712868"/>
            <w:bookmarkStart w:id="70" w:name="_Toc34318702"/>
            <w:bookmarkStart w:id="71" w:name="_Toc34735554"/>
            <w:bookmarkStart w:id="72" w:name="_Toc34736256"/>
            <w:r>
              <w:t xml:space="preserve">Figure </w:t>
            </w:r>
            <w:r>
              <w:rPr>
                <w:noProof/>
              </w:rPr>
              <w:fldChar w:fldCharType="begin"/>
            </w:r>
            <w:r>
              <w:rPr>
                <w:noProof/>
              </w:rPr>
              <w:instrText xml:space="preserve"> SEQ Figure \* ARABIC </w:instrText>
            </w:r>
            <w:r>
              <w:rPr>
                <w:noProof/>
              </w:rPr>
              <w:fldChar w:fldCharType="separate"/>
            </w:r>
            <w:r w:rsidR="004D407F">
              <w:rPr>
                <w:noProof/>
              </w:rPr>
              <w:t>7</w:t>
            </w:r>
            <w:r>
              <w:rPr>
                <w:noProof/>
              </w:rPr>
              <w:fldChar w:fldCharType="end"/>
            </w:r>
            <w:r>
              <w:t xml:space="preserve"> Dairy water use in wet, average, and dry years, by scenario</w:t>
            </w:r>
            <w:bookmarkEnd w:id="67"/>
            <w:bookmarkEnd w:id="68"/>
            <w:bookmarkEnd w:id="69"/>
            <w:bookmarkEnd w:id="70"/>
            <w:bookmarkEnd w:id="71"/>
            <w:bookmarkEnd w:id="72"/>
          </w:p>
          <w:p w:rsidR="003E32BA" w:rsidRDefault="00671164" w:rsidP="003E32BA">
            <w:r>
              <w:rPr>
                <w:noProof/>
                <w:lang w:eastAsia="en-AU"/>
              </w:rPr>
              <w:drawing>
                <wp:inline distT="0" distB="0" distL="0" distR="0">
                  <wp:extent cx="5595786" cy="2196000"/>
                  <wp:effectExtent l="0" t="0" r="5080" b="0"/>
                  <wp:docPr id="14" name="Picture 14" descr="C:\Users\gupta mihir\AppData\Local\Microsoft\Windows\INetCache\Content.Word\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pta mihir\AppData\Local\Microsoft\Windows\INetCache\Content.Word\9-0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85" b="5322"/>
                          <a:stretch/>
                        </pic:blipFill>
                        <pic:spPr bwMode="auto">
                          <a:xfrm>
                            <a:off x="0" y="0"/>
                            <a:ext cx="5595786"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3E32BA" w:rsidRDefault="003E32BA" w:rsidP="003E32BA">
            <w:pPr>
              <w:pStyle w:val="Caption"/>
            </w:pPr>
            <w:bookmarkStart w:id="73" w:name="_Toc33629226"/>
            <w:bookmarkStart w:id="74" w:name="_Toc33629259"/>
            <w:bookmarkStart w:id="75" w:name="_Toc33712869"/>
            <w:bookmarkStart w:id="76" w:name="_Toc34318703"/>
            <w:bookmarkStart w:id="77" w:name="_Toc34735555"/>
            <w:bookmarkStart w:id="78" w:name="_Toc34736257"/>
            <w:r>
              <w:t xml:space="preserve">Figure </w:t>
            </w:r>
            <w:r>
              <w:rPr>
                <w:noProof/>
              </w:rPr>
              <w:fldChar w:fldCharType="begin"/>
            </w:r>
            <w:r>
              <w:rPr>
                <w:noProof/>
              </w:rPr>
              <w:instrText xml:space="preserve"> SEQ Figure \* ARABIC </w:instrText>
            </w:r>
            <w:r>
              <w:rPr>
                <w:noProof/>
              </w:rPr>
              <w:fldChar w:fldCharType="separate"/>
            </w:r>
            <w:r w:rsidR="004D407F">
              <w:rPr>
                <w:noProof/>
              </w:rPr>
              <w:t>8</w:t>
            </w:r>
            <w:r>
              <w:rPr>
                <w:noProof/>
              </w:rPr>
              <w:fldChar w:fldCharType="end"/>
            </w:r>
            <w:r>
              <w:t xml:space="preserve"> </w:t>
            </w:r>
            <w:r w:rsidR="00AC634C">
              <w:t>Percentage change in dairy water use, for different seasonal conditions</w:t>
            </w:r>
            <w:bookmarkEnd w:id="73"/>
            <w:bookmarkEnd w:id="74"/>
            <w:bookmarkEnd w:id="75"/>
            <w:bookmarkEnd w:id="76"/>
            <w:bookmarkEnd w:id="77"/>
            <w:bookmarkEnd w:id="78"/>
          </w:p>
          <w:p w:rsidR="003E32BA" w:rsidRPr="003E32BA" w:rsidRDefault="004A4727" w:rsidP="00AF46A9">
            <w:pPr>
              <w:pStyle w:val="TableText"/>
              <w:rPr>
                <w:sz w:val="20"/>
                <w:szCs w:val="20"/>
              </w:rPr>
            </w:pPr>
            <w:r>
              <w:rPr>
                <w:noProof/>
                <w:lang w:eastAsia="en-AU"/>
              </w:rPr>
              <w:drawing>
                <wp:inline distT="0" distB="0" distL="0" distR="0">
                  <wp:extent cx="5416634" cy="2196000"/>
                  <wp:effectExtent l="0" t="0" r="0" b="0"/>
                  <wp:docPr id="16" name="Picture 16" descr="C:\Users\gupta mihir\AppData\Local\Microsoft\Windows\INetCache\Content.Word\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upta mihir\AppData\Local\Microsoft\Windows\INetCache\Content.Word\10-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6634" cy="2196000"/>
                          </a:xfrm>
                          <a:prstGeom prst="rect">
                            <a:avLst/>
                          </a:prstGeom>
                          <a:noFill/>
                          <a:ln>
                            <a:noFill/>
                          </a:ln>
                        </pic:spPr>
                      </pic:pic>
                    </a:graphicData>
                  </a:graphic>
                </wp:inline>
              </w:drawing>
            </w:r>
          </w:p>
        </w:tc>
      </w:tr>
    </w:tbl>
    <w:p w:rsidR="002404DD" w:rsidRDefault="002404DD" w:rsidP="002404DD">
      <w:pPr>
        <w:pStyle w:val="Heading4"/>
        <w:numPr>
          <w:ilvl w:val="0"/>
          <w:numId w:val="0"/>
        </w:numPr>
        <w:ind w:left="964" w:hanging="964"/>
        <w:rPr>
          <w:lang w:eastAsia="ja-JP"/>
        </w:rPr>
      </w:pPr>
      <w:r>
        <w:rPr>
          <w:lang w:eastAsia="ja-JP"/>
        </w:rPr>
        <w:lastRenderedPageBreak/>
        <w:t>Inter-regional trade limits will have a larger effect</w:t>
      </w:r>
    </w:p>
    <w:p w:rsidR="007253B5" w:rsidRDefault="007253B5" w:rsidP="007253B5">
      <w:r>
        <w:t>In the ‘future scenarios’, there is a greater reliance on inter-regional trade, which in turn highlights the importance of water markets in facilitating the movement of water to its highest value use, and the role of trad</w:t>
      </w:r>
      <w:r w:rsidR="00593836">
        <w:t>e limits in the future. Figure 9</w:t>
      </w:r>
      <w:r>
        <w:t xml:space="preserve"> shows the modelled average net trade, as well as the range, for each trading zone (catchments are grouped into tradin</w:t>
      </w:r>
      <w:r w:rsidR="00593836">
        <w:t>g zones, see note below Figure 9</w:t>
      </w:r>
      <w:r>
        <w:t>). A general increase in water trading activity is expected across the southern basin in the future.</w:t>
      </w:r>
    </w:p>
    <w:p w:rsidR="007253B5" w:rsidRDefault="007253B5" w:rsidP="007253B5">
      <w:r>
        <w:t xml:space="preserve">As discussed previously, most of the increase in future water demand occurs in the almond industry which is primarily located in the Barmah Below trading zone (which includes catchments below the Barmah choke, such as the SA Murray and the Vic. Murray Below). Consequently there is a considerable increase in the volume of water imported into this region, which is primarily sourced from the Murrumbidgee and Northern Victoria. </w:t>
      </w:r>
    </w:p>
    <w:p w:rsidR="007253B5" w:rsidRDefault="007253B5" w:rsidP="007253B5">
      <w:pPr>
        <w:pStyle w:val="Caption"/>
      </w:pPr>
      <w:bookmarkStart w:id="79" w:name="_Toc25747095"/>
      <w:bookmarkStart w:id="80" w:name="_Toc33629227"/>
      <w:bookmarkStart w:id="81" w:name="_Toc33629260"/>
      <w:bookmarkStart w:id="82" w:name="_Toc33712870"/>
      <w:bookmarkStart w:id="83" w:name="_Toc34318704"/>
      <w:bookmarkStart w:id="84" w:name="_Toc34735556"/>
      <w:bookmarkStart w:id="85" w:name="_Toc34736258"/>
      <w:r>
        <w:t xml:space="preserve">Figure </w:t>
      </w:r>
      <w:r>
        <w:rPr>
          <w:noProof/>
        </w:rPr>
        <w:fldChar w:fldCharType="begin"/>
      </w:r>
      <w:r>
        <w:rPr>
          <w:noProof/>
        </w:rPr>
        <w:instrText xml:space="preserve"> SEQ Figure \* ARABIC </w:instrText>
      </w:r>
      <w:r>
        <w:rPr>
          <w:noProof/>
        </w:rPr>
        <w:fldChar w:fldCharType="separate"/>
      </w:r>
      <w:r w:rsidR="004D407F">
        <w:rPr>
          <w:noProof/>
        </w:rPr>
        <w:t>9</w:t>
      </w:r>
      <w:r>
        <w:rPr>
          <w:noProof/>
        </w:rPr>
        <w:fldChar w:fldCharType="end"/>
      </w:r>
      <w:r>
        <w:t xml:space="preserve"> Average net trade by scenario and trading zone</w:t>
      </w:r>
      <w:bookmarkEnd w:id="79"/>
      <w:bookmarkEnd w:id="80"/>
      <w:bookmarkEnd w:id="81"/>
      <w:bookmarkEnd w:id="82"/>
      <w:bookmarkEnd w:id="83"/>
      <w:bookmarkEnd w:id="84"/>
      <w:bookmarkEnd w:id="85"/>
    </w:p>
    <w:p w:rsidR="007253B5" w:rsidRDefault="007253B5" w:rsidP="007253B5">
      <w:pPr>
        <w:pStyle w:val="FigureTableNoteSource"/>
      </w:pPr>
      <w:r>
        <w:rPr>
          <w:noProof/>
          <w:lang w:eastAsia="en-AU"/>
        </w:rPr>
        <w:drawing>
          <wp:inline distT="0" distB="0" distL="0" distR="0" wp14:anchorId="69CED917" wp14:editId="3F6B2AB6">
            <wp:extent cx="5759450" cy="2553419"/>
            <wp:effectExtent l="0" t="0" r="0" b="0"/>
            <wp:docPr id="4" name="Picture 4" descr="C:\Users\gupta mihir\AppData\Local\Microsoft\Windows\INetCache\Content.Word\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pta mihir\AppData\Local\Microsoft\Windows\INetCache\Content.Word\7-0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9351" b="1392"/>
                    <a:stretch/>
                  </pic:blipFill>
                  <pic:spPr bwMode="auto">
                    <a:xfrm>
                      <a:off x="0" y="0"/>
                      <a:ext cx="5760000" cy="2553663"/>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Note: </w:t>
      </w:r>
      <w:r w:rsidRPr="00DB5749">
        <w:rPr>
          <w:b/>
        </w:rPr>
        <w:t xml:space="preserve">Barmah </w:t>
      </w:r>
      <w:proofErr w:type="gramStart"/>
      <w:r w:rsidRPr="00DB5749">
        <w:rPr>
          <w:b/>
        </w:rPr>
        <w:t>Above</w:t>
      </w:r>
      <w:proofErr w:type="gramEnd"/>
      <w:r>
        <w:t xml:space="preserve"> trading zone includes the NSW Murray Above and Vic. Murray Above; </w:t>
      </w:r>
      <w:r w:rsidRPr="00DB5749">
        <w:rPr>
          <w:b/>
        </w:rPr>
        <w:t>Barmah Below</w:t>
      </w:r>
      <w:r>
        <w:t xml:space="preserve"> trading zone includes the NSW Murray Below, Vic. Murray Below and the SA Murray; </w:t>
      </w:r>
      <w:r w:rsidRPr="00DB5749">
        <w:rPr>
          <w:b/>
        </w:rPr>
        <w:t>Northern Victoria</w:t>
      </w:r>
      <w:r>
        <w:t xml:space="preserve"> trading zone includes Vic. Goulburn-Broken and Vic. Loddon-Campaspe.</w:t>
      </w:r>
    </w:p>
    <w:p w:rsidR="007253B5" w:rsidRDefault="007253B5" w:rsidP="007253B5">
      <w:r>
        <w:t>A number of hydrological constraints affect the volume of water that can be traded across the southern basin, and inter-regional trade is regulated by state governments using inter-valley trade limits. While these limits can apply at various times during the water year, an annual limit is approximated using historical data in the Water Trade Model. The model suggests these trade limits are binding m</w:t>
      </w:r>
      <w:r w:rsidR="006F7B0E">
        <w:t>ore often in the future (Table B3</w:t>
      </w:r>
      <w:r>
        <w:t>), leading to larger price gaps between catchments above and below the Barmah choke. In particular, the Murrumbidgee reaches the modelled export trade constraint in 8 out of 14 years in</w:t>
      </w:r>
      <w:r w:rsidR="006F7B0E">
        <w:t xml:space="preserve"> the ‘future scenarios’ (Table B3</w:t>
      </w:r>
      <w:r>
        <w:t xml:space="preserve">). </w:t>
      </w:r>
    </w:p>
    <w:p w:rsidR="007253B5" w:rsidRDefault="00593836" w:rsidP="007253B5">
      <w:r>
        <w:t>As shown in Figure 10</w:t>
      </w:r>
      <w:r w:rsidR="007253B5">
        <w:t xml:space="preserve">, this leads to different distributions for water allocation prices in the Murrumbidgee compared to the Barmah Below in the future. While the price in average years is relatively similar in both trading zones, particularly in dry years, the Murrumbidgee price is typically much lower, reflecting the mix of irrigation activities in the region and a binding trade constraint limiting the volume of water that can be exported (See Table </w:t>
      </w:r>
      <w:r w:rsidR="006F7B0E">
        <w:t>B1</w:t>
      </w:r>
      <w:r w:rsidR="007253B5">
        <w:t xml:space="preserve"> for average water </w:t>
      </w:r>
      <w:r w:rsidR="006F7B0E">
        <w:t>prices by catchment; see Table B3</w:t>
      </w:r>
      <w:r w:rsidR="007253B5">
        <w:t xml:space="preserve"> for number of years where trade limits are binding).</w:t>
      </w:r>
    </w:p>
    <w:p w:rsidR="007253B5" w:rsidRDefault="007253B5" w:rsidP="007253B5">
      <w:pPr>
        <w:pStyle w:val="Caption"/>
      </w:pPr>
      <w:bookmarkStart w:id="86" w:name="_Toc25747096"/>
      <w:bookmarkStart w:id="87" w:name="_Toc33629228"/>
      <w:bookmarkStart w:id="88" w:name="_Toc33629261"/>
      <w:bookmarkStart w:id="89" w:name="_Toc33712871"/>
      <w:bookmarkStart w:id="90" w:name="_Toc34318705"/>
      <w:bookmarkStart w:id="91" w:name="_Toc34735557"/>
      <w:bookmarkStart w:id="92" w:name="_Toc34736259"/>
      <w:r>
        <w:lastRenderedPageBreak/>
        <w:t xml:space="preserve">Figure </w:t>
      </w:r>
      <w:r>
        <w:rPr>
          <w:noProof/>
        </w:rPr>
        <w:fldChar w:fldCharType="begin"/>
      </w:r>
      <w:r>
        <w:rPr>
          <w:noProof/>
        </w:rPr>
        <w:instrText xml:space="preserve"> SEQ Figure \* ARABIC </w:instrText>
      </w:r>
      <w:r>
        <w:rPr>
          <w:noProof/>
        </w:rPr>
        <w:fldChar w:fldCharType="separate"/>
      </w:r>
      <w:r w:rsidR="004D407F">
        <w:rPr>
          <w:noProof/>
        </w:rPr>
        <w:t>10</w:t>
      </w:r>
      <w:r>
        <w:rPr>
          <w:noProof/>
        </w:rPr>
        <w:fldChar w:fldCharType="end"/>
      </w:r>
      <w:r>
        <w:t xml:space="preserve"> Price gaps between the Barmah Below and Murrumbidgee trading zones</w:t>
      </w:r>
      <w:bookmarkEnd w:id="86"/>
      <w:bookmarkEnd w:id="87"/>
      <w:bookmarkEnd w:id="88"/>
      <w:bookmarkEnd w:id="89"/>
      <w:bookmarkEnd w:id="90"/>
      <w:bookmarkEnd w:id="91"/>
      <w:bookmarkEnd w:id="92"/>
    </w:p>
    <w:p w:rsidR="007253B5" w:rsidRDefault="007253B5" w:rsidP="007253B5">
      <w:r>
        <w:rPr>
          <w:noProof/>
          <w:lang w:eastAsia="en-AU"/>
        </w:rPr>
        <w:drawing>
          <wp:inline distT="0" distB="0" distL="0" distR="0" wp14:anchorId="0D525C6A" wp14:editId="2BB00F3F">
            <wp:extent cx="5758896" cy="2484408"/>
            <wp:effectExtent l="0" t="0" r="0" b="0"/>
            <wp:docPr id="11" name="Picture 11" descr="C:\Users\gupta mihir\AppData\Local\Microsoft\Windows\INetCache\Content.Word\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pta mihir\AppData\Local\Microsoft\Windows\INetCache\Content.Word\8-0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8103" b="2213"/>
                    <a:stretch/>
                  </pic:blipFill>
                  <pic:spPr bwMode="auto">
                    <a:xfrm>
                      <a:off x="0" y="0"/>
                      <a:ext cx="5760000" cy="2484884"/>
                    </a:xfrm>
                    <a:prstGeom prst="rect">
                      <a:avLst/>
                    </a:prstGeom>
                    <a:noFill/>
                    <a:ln>
                      <a:noFill/>
                    </a:ln>
                    <a:extLst>
                      <a:ext uri="{53640926-AAD7-44D8-BBD7-CCE9431645EC}">
                        <a14:shadowObscured xmlns:a14="http://schemas.microsoft.com/office/drawing/2010/main"/>
                      </a:ext>
                    </a:extLst>
                  </pic:spPr>
                </pic:pic>
              </a:graphicData>
            </a:graphic>
          </wp:inline>
        </w:drawing>
      </w:r>
    </w:p>
    <w:p w:rsidR="007253B5" w:rsidRDefault="007253B5" w:rsidP="007253B5">
      <w:r>
        <w:t xml:space="preserve">It is important to note that the water market is going through some changes in 2019–20 that have not been considered in the model. In particular, the Goulburn-Murray Inter-valley trade limit is being revised to essentially reduce the volume of water that can be exported from the Goulburn to the Murray. </w:t>
      </w:r>
    </w:p>
    <w:p w:rsidR="002404DD" w:rsidRPr="002404DD" w:rsidRDefault="002404DD" w:rsidP="002404DD">
      <w:pPr>
        <w:pStyle w:val="Heading4"/>
        <w:numPr>
          <w:ilvl w:val="0"/>
          <w:numId w:val="0"/>
        </w:numPr>
        <w:ind w:left="964" w:hanging="964"/>
        <w:rPr>
          <w:lang w:eastAsia="ja-JP"/>
        </w:rPr>
      </w:pPr>
      <w:r>
        <w:rPr>
          <w:lang w:eastAsia="ja-JP"/>
        </w:rPr>
        <w:t>GVIAP for traditional irrigation sectors will decrease</w:t>
      </w:r>
    </w:p>
    <w:p w:rsidR="007253B5" w:rsidRDefault="007253B5" w:rsidP="007253B5">
      <w:r w:rsidRPr="00AD1F67">
        <w:t xml:space="preserve">Table 2 shows the average annual gross value of irrigated agricultural production (GVIAP) </w:t>
      </w:r>
      <w:bookmarkStart w:id="93" w:name="_GoBack"/>
      <w:bookmarkEnd w:id="93"/>
      <w:r w:rsidRPr="00AD1F67">
        <w:t xml:space="preserve">across the southern basin by activity. </w:t>
      </w:r>
      <w:r>
        <w:t>T</w:t>
      </w:r>
      <w:r w:rsidRPr="00AD1F67">
        <w:t xml:space="preserve">otal GVIAP across all activities </w:t>
      </w:r>
      <w:r w:rsidRPr="00AD1F67">
        <w:rPr>
          <w:i/>
        </w:rPr>
        <w:t>increases</w:t>
      </w:r>
      <w:r w:rsidRPr="00AD1F67">
        <w:t xml:space="preserve"> by 0.8 per cent on average each year </w:t>
      </w:r>
      <w:r>
        <w:t xml:space="preserve">in the future market scenario compared to the current market scenario. While this increase is primarily driven by significantly higher almond production, ABARES research also shows that recovering water through on-farm programs leads to greater productivity for participating farms in this scenario. While </w:t>
      </w:r>
      <w:r w:rsidR="00EE2971">
        <w:t xml:space="preserve">the average annual GVIAP for </w:t>
      </w:r>
      <w:r>
        <w:t>most irrigation sectors (</w:t>
      </w:r>
      <w:r w:rsidR="00AF46A9">
        <w:t>except</w:t>
      </w:r>
      <w:r w:rsidR="00A87B5F">
        <w:t xml:space="preserve"> h</w:t>
      </w:r>
      <w:r>
        <w:t xml:space="preserve">orticulture) </w:t>
      </w:r>
      <w:r w:rsidR="00EE2971">
        <w:t>is estimated to decline</w:t>
      </w:r>
      <w:r>
        <w:t>, this decrease would be greater if water was recovered solely through buybacks.</w:t>
      </w:r>
    </w:p>
    <w:p w:rsidR="007253B5" w:rsidRDefault="007253B5" w:rsidP="007253B5">
      <w:r>
        <w:t xml:space="preserve">In the future market (dry) scenario, total GVIAP </w:t>
      </w:r>
      <w:r w:rsidRPr="00EA786D">
        <w:rPr>
          <w:i/>
        </w:rPr>
        <w:t>decreases</w:t>
      </w:r>
      <w:r>
        <w:t xml:space="preserve"> by 4.1 per cent compared to the current market scenario. The positive effect of on-farm programs on farm productivity and greater almond production is more than offset by a decrease in production in other sectors due to </w:t>
      </w:r>
      <w:r w:rsidR="00A87B5F">
        <w:t xml:space="preserve">lower rainfall and </w:t>
      </w:r>
      <w:r>
        <w:t>higher water prices.</w:t>
      </w:r>
    </w:p>
    <w:p w:rsidR="007253B5" w:rsidRDefault="007253B5" w:rsidP="00453EFF">
      <w:r>
        <w:t xml:space="preserve">In both future market scenarios, production (Table </w:t>
      </w:r>
      <w:r w:rsidR="00A227CC">
        <w:t>B9</w:t>
      </w:r>
      <w:r>
        <w:t>) for most irrigation activities (</w:t>
      </w:r>
      <w:r w:rsidR="00AF46A9">
        <w:t>except</w:t>
      </w:r>
      <w:r w:rsidR="00A87B5F">
        <w:t xml:space="preserve"> h</w:t>
      </w:r>
      <w:r>
        <w:t xml:space="preserve">orticulture) decreases, following the changes in </w:t>
      </w:r>
      <w:r w:rsidR="00EE2971">
        <w:t xml:space="preserve">irrigated area and </w:t>
      </w:r>
      <w:r>
        <w:t xml:space="preserve">water use (Table </w:t>
      </w:r>
      <w:r w:rsidR="006F7B0E">
        <w:t>B4</w:t>
      </w:r>
      <w:r>
        <w:t>).</w:t>
      </w:r>
      <w:r w:rsidR="00EE2971">
        <w:t xml:space="preserve"> T</w:t>
      </w:r>
      <w:r>
        <w:t>he averag</w:t>
      </w:r>
      <w:r w:rsidR="00EE2971">
        <w:t>e decrease in d</w:t>
      </w:r>
      <w:r>
        <w:t>airy production is smalle</w:t>
      </w:r>
      <w:r w:rsidR="00EE2971">
        <w:t>r than the average decrease in d</w:t>
      </w:r>
      <w:r>
        <w:t xml:space="preserve">airy water use, as farmers are able to substitute water for fodder and maintain a relatively higher level of production. </w:t>
      </w:r>
      <w:r w:rsidR="00EE2971">
        <w:t>However, for many farms, increased reliance on fodder for dairy production would likely lead to higher input costs and reduced profitability.</w:t>
      </w:r>
      <w:r w:rsidR="00453EFF">
        <w:t xml:space="preserve"> While this could lead to structural changes in the dairy industry in the longer-term, it is important to note the model does not account for such changes.</w:t>
      </w:r>
    </w:p>
    <w:p w:rsidR="00AF46A9" w:rsidRDefault="00AF46A9">
      <w:pPr>
        <w:spacing w:after="0" w:line="240" w:lineRule="auto"/>
      </w:pPr>
      <w:r>
        <w:br w:type="page"/>
      </w:r>
    </w:p>
    <w:p w:rsidR="007253B5" w:rsidRDefault="007253B5" w:rsidP="007253B5">
      <w:pPr>
        <w:pStyle w:val="Caption"/>
      </w:pPr>
      <w:bookmarkStart w:id="94" w:name="_Toc33629186"/>
      <w:bookmarkStart w:id="95" w:name="_Toc33629229"/>
      <w:bookmarkStart w:id="96" w:name="_Toc33629262"/>
      <w:bookmarkStart w:id="97" w:name="_Toc33712872"/>
      <w:bookmarkStart w:id="98" w:name="_Toc34318706"/>
      <w:bookmarkStart w:id="99" w:name="_Toc34735536"/>
      <w:bookmarkStart w:id="100" w:name="_Toc34735558"/>
      <w:r>
        <w:lastRenderedPageBreak/>
        <w:t xml:space="preserve">Table </w:t>
      </w:r>
      <w:r>
        <w:rPr>
          <w:noProof/>
        </w:rPr>
        <w:fldChar w:fldCharType="begin"/>
      </w:r>
      <w:r>
        <w:rPr>
          <w:noProof/>
        </w:rPr>
        <w:instrText xml:space="preserve"> SEQ Table \* ARABIC </w:instrText>
      </w:r>
      <w:r>
        <w:rPr>
          <w:noProof/>
        </w:rPr>
        <w:fldChar w:fldCharType="separate"/>
      </w:r>
      <w:r w:rsidR="004D407F">
        <w:rPr>
          <w:noProof/>
        </w:rPr>
        <w:t>2</w:t>
      </w:r>
      <w:r>
        <w:rPr>
          <w:noProof/>
        </w:rPr>
        <w:fldChar w:fldCharType="end"/>
      </w:r>
      <w:r>
        <w:t xml:space="preserve"> Average annual GVIAP, by scenario and irrigation activity, sMDB</w:t>
      </w:r>
      <w:bookmarkEnd w:id="94"/>
      <w:bookmarkEnd w:id="95"/>
      <w:bookmarkEnd w:id="96"/>
      <w:bookmarkEnd w:id="97"/>
      <w:bookmarkEnd w:id="98"/>
      <w:bookmarkEnd w:id="99"/>
      <w:bookmarkEnd w:id="100"/>
    </w:p>
    <w:tbl>
      <w:tblPr>
        <w:tblW w:w="5000" w:type="pct"/>
        <w:tblLook w:val="04A0" w:firstRow="1" w:lastRow="0" w:firstColumn="1" w:lastColumn="0" w:noHBand="0" w:noVBand="1"/>
      </w:tblPr>
      <w:tblGrid>
        <w:gridCol w:w="2133"/>
        <w:gridCol w:w="2313"/>
        <w:gridCol w:w="2313"/>
        <w:gridCol w:w="2311"/>
      </w:tblGrid>
      <w:tr w:rsidR="007253B5" w:rsidRPr="000D39AF" w:rsidTr="00175114">
        <w:trPr>
          <w:trHeight w:val="300"/>
        </w:trPr>
        <w:tc>
          <w:tcPr>
            <w:tcW w:w="1176" w:type="pct"/>
            <w:tcBorders>
              <w:top w:val="single" w:sz="4" w:space="0" w:color="auto"/>
              <w:left w:val="nil"/>
              <w:bottom w:val="single" w:sz="4" w:space="0" w:color="auto"/>
              <w:right w:val="nil"/>
            </w:tcBorders>
            <w:shd w:val="clear" w:color="auto" w:fill="auto"/>
            <w:noWrap/>
            <w:vAlign w:val="center"/>
            <w:hideMark/>
          </w:tcPr>
          <w:p w:rsidR="007253B5" w:rsidRPr="000D39AF" w:rsidRDefault="007253B5" w:rsidP="00175114">
            <w:pPr>
              <w:pStyle w:val="TableText"/>
              <w:rPr>
                <w:b/>
              </w:rPr>
            </w:pPr>
            <w:r>
              <w:rPr>
                <w:b/>
              </w:rPr>
              <w:t>Irrigation activity</w:t>
            </w:r>
          </w:p>
        </w:tc>
        <w:tc>
          <w:tcPr>
            <w:tcW w:w="1275" w:type="pct"/>
            <w:tcBorders>
              <w:top w:val="single" w:sz="4" w:space="0" w:color="auto"/>
              <w:left w:val="nil"/>
              <w:bottom w:val="single" w:sz="4" w:space="0" w:color="auto"/>
              <w:right w:val="nil"/>
            </w:tcBorders>
            <w:shd w:val="clear" w:color="auto" w:fill="auto"/>
            <w:noWrap/>
            <w:vAlign w:val="center"/>
            <w:hideMark/>
          </w:tcPr>
          <w:p w:rsidR="007253B5" w:rsidRDefault="007253B5" w:rsidP="00175114">
            <w:pPr>
              <w:pStyle w:val="TableText"/>
              <w:jc w:val="right"/>
              <w:rPr>
                <w:b/>
              </w:rPr>
            </w:pPr>
            <w:r>
              <w:rPr>
                <w:b/>
              </w:rPr>
              <w:t>Current market</w:t>
            </w:r>
          </w:p>
          <w:p w:rsidR="008C3D24" w:rsidRPr="000D39AF" w:rsidRDefault="008C3D24" w:rsidP="00175114">
            <w:pPr>
              <w:pStyle w:val="TableText"/>
              <w:jc w:val="right"/>
              <w:rPr>
                <w:b/>
              </w:rPr>
            </w:pPr>
            <w:r>
              <w:rPr>
                <w:b/>
              </w:rPr>
              <w:t>($m)</w:t>
            </w:r>
          </w:p>
        </w:tc>
        <w:tc>
          <w:tcPr>
            <w:tcW w:w="1275" w:type="pct"/>
            <w:tcBorders>
              <w:top w:val="single" w:sz="4" w:space="0" w:color="auto"/>
              <w:left w:val="nil"/>
              <w:bottom w:val="single" w:sz="4" w:space="0" w:color="auto"/>
              <w:right w:val="nil"/>
            </w:tcBorders>
            <w:shd w:val="clear" w:color="auto" w:fill="auto"/>
            <w:noWrap/>
            <w:vAlign w:val="center"/>
            <w:hideMark/>
          </w:tcPr>
          <w:p w:rsidR="007253B5" w:rsidRDefault="007253B5" w:rsidP="00175114">
            <w:pPr>
              <w:pStyle w:val="TableText"/>
              <w:jc w:val="right"/>
              <w:rPr>
                <w:b/>
              </w:rPr>
            </w:pPr>
            <w:r>
              <w:rPr>
                <w:b/>
              </w:rPr>
              <w:t>Future market</w:t>
            </w:r>
          </w:p>
          <w:p w:rsidR="008C3D24" w:rsidRPr="000D39AF" w:rsidRDefault="008C3D24" w:rsidP="00175114">
            <w:pPr>
              <w:pStyle w:val="TableText"/>
              <w:jc w:val="right"/>
              <w:rPr>
                <w:b/>
              </w:rPr>
            </w:pPr>
            <w:r>
              <w:rPr>
                <w:b/>
              </w:rPr>
              <w:t>($m)</w:t>
            </w:r>
          </w:p>
        </w:tc>
        <w:tc>
          <w:tcPr>
            <w:tcW w:w="1274" w:type="pct"/>
            <w:tcBorders>
              <w:top w:val="single" w:sz="4" w:space="0" w:color="auto"/>
              <w:left w:val="nil"/>
              <w:bottom w:val="single" w:sz="4" w:space="0" w:color="auto"/>
              <w:right w:val="nil"/>
            </w:tcBorders>
            <w:shd w:val="clear" w:color="auto" w:fill="auto"/>
            <w:noWrap/>
            <w:vAlign w:val="center"/>
            <w:hideMark/>
          </w:tcPr>
          <w:p w:rsidR="007253B5" w:rsidRDefault="007253B5" w:rsidP="00175114">
            <w:pPr>
              <w:pStyle w:val="TableText"/>
              <w:jc w:val="right"/>
              <w:rPr>
                <w:b/>
              </w:rPr>
            </w:pPr>
            <w:r>
              <w:rPr>
                <w:b/>
              </w:rPr>
              <w:t>Future market (dry)</w:t>
            </w:r>
          </w:p>
          <w:p w:rsidR="008C3D24" w:rsidRPr="000D39AF" w:rsidRDefault="008C3D24" w:rsidP="00175114">
            <w:pPr>
              <w:pStyle w:val="TableText"/>
              <w:jc w:val="right"/>
              <w:rPr>
                <w:b/>
              </w:rPr>
            </w:pPr>
            <w:r>
              <w:rPr>
                <w:b/>
              </w:rPr>
              <w:t>($m)</w:t>
            </w:r>
          </w:p>
        </w:tc>
      </w:tr>
      <w:tr w:rsidR="007253B5" w:rsidRPr="000D39AF" w:rsidTr="007253B5">
        <w:trPr>
          <w:trHeight w:val="300"/>
        </w:trPr>
        <w:tc>
          <w:tcPr>
            <w:tcW w:w="1176" w:type="pct"/>
            <w:tcBorders>
              <w:top w:val="single" w:sz="4" w:space="0" w:color="auto"/>
              <w:left w:val="nil"/>
              <w:bottom w:val="nil"/>
              <w:right w:val="nil"/>
            </w:tcBorders>
            <w:shd w:val="clear" w:color="auto" w:fill="auto"/>
            <w:noWrap/>
            <w:vAlign w:val="bottom"/>
          </w:tcPr>
          <w:p w:rsidR="007253B5" w:rsidRPr="000D39AF" w:rsidRDefault="007253B5" w:rsidP="007253B5">
            <w:pPr>
              <w:pStyle w:val="TableText"/>
            </w:pPr>
            <w:r>
              <w:t>Cropping</w:t>
            </w:r>
          </w:p>
        </w:tc>
        <w:tc>
          <w:tcPr>
            <w:tcW w:w="1275" w:type="pct"/>
            <w:tcBorders>
              <w:top w:val="single" w:sz="4" w:space="0" w:color="auto"/>
              <w:left w:val="nil"/>
              <w:bottom w:val="nil"/>
              <w:right w:val="nil"/>
            </w:tcBorders>
            <w:shd w:val="clear" w:color="auto" w:fill="auto"/>
            <w:noWrap/>
          </w:tcPr>
          <w:p w:rsidR="007253B5" w:rsidRPr="003C18F9" w:rsidRDefault="007253B5" w:rsidP="007253B5">
            <w:pPr>
              <w:pStyle w:val="TableText"/>
              <w:jc w:val="right"/>
            </w:pPr>
            <w:r w:rsidRPr="00D610B8">
              <w:t>441.7</w:t>
            </w:r>
          </w:p>
        </w:tc>
        <w:tc>
          <w:tcPr>
            <w:tcW w:w="1275" w:type="pct"/>
            <w:tcBorders>
              <w:top w:val="single" w:sz="4" w:space="0" w:color="auto"/>
              <w:left w:val="nil"/>
              <w:bottom w:val="nil"/>
              <w:right w:val="nil"/>
            </w:tcBorders>
            <w:shd w:val="clear" w:color="auto" w:fill="auto"/>
            <w:noWrap/>
          </w:tcPr>
          <w:p w:rsidR="007253B5" w:rsidRPr="003C18F9" w:rsidRDefault="007253B5" w:rsidP="007253B5">
            <w:pPr>
              <w:pStyle w:val="TableText"/>
              <w:jc w:val="right"/>
            </w:pPr>
            <w:r w:rsidRPr="00D610B8">
              <w:t>413.6</w:t>
            </w:r>
          </w:p>
        </w:tc>
        <w:tc>
          <w:tcPr>
            <w:tcW w:w="1274" w:type="pct"/>
            <w:tcBorders>
              <w:top w:val="single" w:sz="4" w:space="0" w:color="auto"/>
              <w:left w:val="nil"/>
              <w:bottom w:val="nil"/>
              <w:right w:val="nil"/>
            </w:tcBorders>
            <w:shd w:val="clear" w:color="auto" w:fill="auto"/>
            <w:noWrap/>
          </w:tcPr>
          <w:p w:rsidR="007253B5" w:rsidRPr="003C18F9" w:rsidRDefault="007253B5" w:rsidP="007253B5">
            <w:pPr>
              <w:pStyle w:val="TableText"/>
              <w:jc w:val="right"/>
            </w:pPr>
            <w:r w:rsidRPr="00D610B8">
              <w:t>366.2</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Pr="000D39AF" w:rsidRDefault="007253B5" w:rsidP="007253B5">
            <w:pPr>
              <w:pStyle w:val="TableText"/>
            </w:pP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t>(</w:t>
            </w:r>
            <w:r w:rsidRPr="00D610B8">
              <w:t>-6.4%</w:t>
            </w:r>
            <w:r>
              <w:t>)</w:t>
            </w:r>
          </w:p>
        </w:tc>
        <w:tc>
          <w:tcPr>
            <w:tcW w:w="1274" w:type="pct"/>
            <w:tcBorders>
              <w:top w:val="nil"/>
              <w:left w:val="nil"/>
              <w:bottom w:val="nil"/>
              <w:right w:val="nil"/>
            </w:tcBorders>
            <w:shd w:val="clear" w:color="auto" w:fill="auto"/>
            <w:noWrap/>
          </w:tcPr>
          <w:p w:rsidR="007253B5" w:rsidRPr="003C18F9" w:rsidRDefault="007253B5" w:rsidP="007253B5">
            <w:pPr>
              <w:pStyle w:val="TableText"/>
              <w:jc w:val="right"/>
            </w:pPr>
            <w:r>
              <w:t>(</w:t>
            </w:r>
            <w:r w:rsidRPr="00D610B8">
              <w:t>-17.1%</w:t>
            </w:r>
            <w:r>
              <w:t>)</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Pr="000D39AF" w:rsidRDefault="007253B5" w:rsidP="007253B5">
            <w:pPr>
              <w:pStyle w:val="TableText"/>
            </w:pPr>
            <w:r>
              <w:t>Pastures</w:t>
            </w: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rsidRPr="00D610B8">
              <w:t>457.7</w:t>
            </w: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rsidRPr="00D610B8">
              <w:t>420.0</w:t>
            </w:r>
          </w:p>
        </w:tc>
        <w:tc>
          <w:tcPr>
            <w:tcW w:w="1274" w:type="pct"/>
            <w:tcBorders>
              <w:top w:val="nil"/>
              <w:left w:val="nil"/>
              <w:bottom w:val="nil"/>
              <w:right w:val="nil"/>
            </w:tcBorders>
            <w:shd w:val="clear" w:color="auto" w:fill="auto"/>
            <w:noWrap/>
          </w:tcPr>
          <w:p w:rsidR="007253B5" w:rsidRPr="003C18F9" w:rsidRDefault="007253B5" w:rsidP="007253B5">
            <w:pPr>
              <w:pStyle w:val="TableText"/>
              <w:jc w:val="right"/>
            </w:pPr>
            <w:r w:rsidRPr="00D610B8">
              <w:t>364.1</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Default="007253B5" w:rsidP="007253B5">
            <w:pPr>
              <w:pStyle w:val="TableText"/>
            </w:pP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t>(</w:t>
            </w:r>
            <w:r w:rsidRPr="00D610B8">
              <w:t>-8.2%</w:t>
            </w:r>
            <w:r>
              <w:t>)</w:t>
            </w:r>
          </w:p>
        </w:tc>
        <w:tc>
          <w:tcPr>
            <w:tcW w:w="1274" w:type="pct"/>
            <w:tcBorders>
              <w:top w:val="nil"/>
              <w:left w:val="nil"/>
              <w:bottom w:val="nil"/>
              <w:right w:val="nil"/>
            </w:tcBorders>
            <w:shd w:val="clear" w:color="auto" w:fill="auto"/>
            <w:noWrap/>
          </w:tcPr>
          <w:p w:rsidR="007253B5" w:rsidRPr="000A3BF9" w:rsidRDefault="007253B5" w:rsidP="007253B5">
            <w:pPr>
              <w:pStyle w:val="TableText"/>
              <w:jc w:val="right"/>
            </w:pPr>
            <w:r>
              <w:t>(</w:t>
            </w:r>
            <w:r w:rsidRPr="00D610B8">
              <w:t>-20.5%</w:t>
            </w:r>
            <w:r>
              <w:t>)</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Default="007253B5" w:rsidP="007253B5">
            <w:pPr>
              <w:pStyle w:val="TableText"/>
            </w:pPr>
            <w:r>
              <w:t>Horticulture</w:t>
            </w: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2</w:t>
            </w:r>
            <w:r>
              <w:t>,435.7</w:t>
            </w: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t>2,472.2</w:t>
            </w:r>
          </w:p>
        </w:tc>
        <w:tc>
          <w:tcPr>
            <w:tcW w:w="1274"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2</w:t>
            </w:r>
            <w:r>
              <w:t>,428.5</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Default="007253B5" w:rsidP="007253B5">
            <w:pPr>
              <w:pStyle w:val="TableText"/>
            </w:pP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t>(1.5</w:t>
            </w:r>
            <w:r w:rsidRPr="00D610B8">
              <w:t>%</w:t>
            </w:r>
            <w:r>
              <w:t>)</w:t>
            </w:r>
          </w:p>
        </w:tc>
        <w:tc>
          <w:tcPr>
            <w:tcW w:w="1274" w:type="pct"/>
            <w:tcBorders>
              <w:top w:val="nil"/>
              <w:left w:val="nil"/>
              <w:bottom w:val="nil"/>
              <w:right w:val="nil"/>
            </w:tcBorders>
            <w:shd w:val="clear" w:color="auto" w:fill="auto"/>
            <w:noWrap/>
          </w:tcPr>
          <w:p w:rsidR="007253B5" w:rsidRPr="000A3BF9" w:rsidRDefault="007253B5" w:rsidP="007253B5">
            <w:pPr>
              <w:pStyle w:val="TableText"/>
              <w:jc w:val="right"/>
            </w:pPr>
            <w:r>
              <w:t>(-0.3</w:t>
            </w:r>
            <w:r w:rsidRPr="00D610B8">
              <w:t>%</w:t>
            </w:r>
            <w:r>
              <w:t>)</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Default="007253B5" w:rsidP="007253B5">
            <w:pPr>
              <w:pStyle w:val="TableText"/>
            </w:pPr>
            <w:r>
              <w:t>Rice</w:t>
            </w: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191.4</w:t>
            </w: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165.5</w:t>
            </w:r>
          </w:p>
        </w:tc>
        <w:tc>
          <w:tcPr>
            <w:tcW w:w="1274"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133.4</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Default="007253B5" w:rsidP="007253B5">
            <w:pPr>
              <w:pStyle w:val="TableText"/>
            </w:pP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t>(</w:t>
            </w:r>
            <w:r w:rsidRPr="00D610B8">
              <w:t>-13.5%</w:t>
            </w:r>
            <w:r>
              <w:t>)</w:t>
            </w:r>
          </w:p>
        </w:tc>
        <w:tc>
          <w:tcPr>
            <w:tcW w:w="1274" w:type="pct"/>
            <w:tcBorders>
              <w:top w:val="nil"/>
              <w:left w:val="nil"/>
              <w:bottom w:val="nil"/>
              <w:right w:val="nil"/>
            </w:tcBorders>
            <w:shd w:val="clear" w:color="auto" w:fill="auto"/>
            <w:noWrap/>
          </w:tcPr>
          <w:p w:rsidR="007253B5" w:rsidRPr="000A3BF9" w:rsidRDefault="007253B5" w:rsidP="007253B5">
            <w:pPr>
              <w:pStyle w:val="TableText"/>
              <w:jc w:val="right"/>
            </w:pPr>
            <w:r>
              <w:t>(</w:t>
            </w:r>
            <w:r w:rsidRPr="00D610B8">
              <w:t>-30.3%</w:t>
            </w:r>
            <w:r>
              <w:t>)</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Default="007253B5" w:rsidP="007253B5">
            <w:pPr>
              <w:pStyle w:val="TableText"/>
            </w:pPr>
            <w:r>
              <w:t>Dairy</w:t>
            </w: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726.8</w:t>
            </w:r>
          </w:p>
        </w:tc>
        <w:tc>
          <w:tcPr>
            <w:tcW w:w="1275"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664.3</w:t>
            </w:r>
          </w:p>
        </w:tc>
        <w:tc>
          <w:tcPr>
            <w:tcW w:w="1274" w:type="pct"/>
            <w:tcBorders>
              <w:top w:val="nil"/>
              <w:left w:val="nil"/>
              <w:bottom w:val="nil"/>
              <w:right w:val="nil"/>
            </w:tcBorders>
            <w:shd w:val="clear" w:color="auto" w:fill="auto"/>
            <w:noWrap/>
          </w:tcPr>
          <w:p w:rsidR="007253B5" w:rsidRPr="000A3BF9" w:rsidRDefault="007253B5" w:rsidP="007253B5">
            <w:pPr>
              <w:pStyle w:val="TableText"/>
              <w:jc w:val="right"/>
            </w:pPr>
            <w:r w:rsidRPr="00D610B8">
              <w:t>608.7</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Pr="000D39AF" w:rsidRDefault="007253B5" w:rsidP="007253B5">
            <w:pPr>
              <w:pStyle w:val="TableText"/>
            </w:pP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t>(</w:t>
            </w:r>
            <w:r w:rsidRPr="00D610B8">
              <w:t>-8.6%</w:t>
            </w:r>
            <w:r>
              <w:t>)</w:t>
            </w:r>
          </w:p>
        </w:tc>
        <w:tc>
          <w:tcPr>
            <w:tcW w:w="1274" w:type="pct"/>
            <w:tcBorders>
              <w:top w:val="nil"/>
              <w:left w:val="nil"/>
              <w:bottom w:val="nil"/>
              <w:right w:val="nil"/>
            </w:tcBorders>
            <w:shd w:val="clear" w:color="auto" w:fill="auto"/>
            <w:noWrap/>
          </w:tcPr>
          <w:p w:rsidR="007253B5" w:rsidRPr="003C18F9" w:rsidRDefault="007253B5" w:rsidP="007253B5">
            <w:pPr>
              <w:pStyle w:val="TableText"/>
              <w:jc w:val="right"/>
            </w:pPr>
            <w:r>
              <w:t>(</w:t>
            </w:r>
            <w:r w:rsidRPr="00D610B8">
              <w:t>-16.2%</w:t>
            </w:r>
            <w:r>
              <w:t>)</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Pr="000D39AF" w:rsidRDefault="007253B5" w:rsidP="007253B5">
            <w:pPr>
              <w:pStyle w:val="TableText"/>
            </w:pPr>
            <w:r>
              <w:t>Almonds</w:t>
            </w: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rsidRPr="00D610B8">
              <w:t>658.0</w:t>
            </w: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rsidRPr="00D610B8">
              <w:t>813.0</w:t>
            </w:r>
          </w:p>
        </w:tc>
        <w:tc>
          <w:tcPr>
            <w:tcW w:w="1274" w:type="pct"/>
            <w:tcBorders>
              <w:top w:val="nil"/>
              <w:left w:val="nil"/>
              <w:bottom w:val="nil"/>
              <w:right w:val="nil"/>
            </w:tcBorders>
            <w:shd w:val="clear" w:color="auto" w:fill="auto"/>
            <w:noWrap/>
          </w:tcPr>
          <w:p w:rsidR="007253B5" w:rsidRPr="003C18F9" w:rsidRDefault="007253B5" w:rsidP="007253B5">
            <w:pPr>
              <w:pStyle w:val="TableText"/>
              <w:jc w:val="right"/>
            </w:pPr>
            <w:r w:rsidRPr="00D610B8">
              <w:t>807.9</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Pr="000D39AF" w:rsidRDefault="007253B5" w:rsidP="007253B5">
            <w:pPr>
              <w:pStyle w:val="TableText"/>
            </w:pP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p>
        </w:tc>
        <w:tc>
          <w:tcPr>
            <w:tcW w:w="1275" w:type="pct"/>
            <w:tcBorders>
              <w:top w:val="nil"/>
              <w:left w:val="nil"/>
              <w:bottom w:val="nil"/>
              <w:right w:val="nil"/>
            </w:tcBorders>
            <w:shd w:val="clear" w:color="auto" w:fill="auto"/>
            <w:noWrap/>
          </w:tcPr>
          <w:p w:rsidR="007253B5" w:rsidRPr="003C18F9" w:rsidRDefault="007253B5" w:rsidP="007253B5">
            <w:pPr>
              <w:pStyle w:val="TableText"/>
              <w:jc w:val="right"/>
            </w:pPr>
            <w:r>
              <w:t>(</w:t>
            </w:r>
            <w:r w:rsidRPr="00D610B8">
              <w:t>23.5%</w:t>
            </w:r>
            <w:r>
              <w:t>)</w:t>
            </w:r>
          </w:p>
        </w:tc>
        <w:tc>
          <w:tcPr>
            <w:tcW w:w="1274" w:type="pct"/>
            <w:tcBorders>
              <w:top w:val="nil"/>
              <w:left w:val="nil"/>
              <w:bottom w:val="nil"/>
              <w:right w:val="nil"/>
            </w:tcBorders>
            <w:shd w:val="clear" w:color="auto" w:fill="auto"/>
            <w:noWrap/>
          </w:tcPr>
          <w:p w:rsidR="007253B5" w:rsidRPr="003C18F9" w:rsidRDefault="007253B5" w:rsidP="007253B5">
            <w:pPr>
              <w:pStyle w:val="TableText"/>
              <w:jc w:val="right"/>
            </w:pPr>
            <w:r>
              <w:t>(</w:t>
            </w:r>
            <w:r w:rsidRPr="00D610B8">
              <w:t>22.8%</w:t>
            </w:r>
            <w:r>
              <w:t>)</w:t>
            </w:r>
          </w:p>
        </w:tc>
      </w:tr>
      <w:tr w:rsidR="007253B5" w:rsidRPr="000D39AF" w:rsidTr="007253B5">
        <w:trPr>
          <w:trHeight w:val="300"/>
        </w:trPr>
        <w:tc>
          <w:tcPr>
            <w:tcW w:w="1176" w:type="pct"/>
            <w:tcBorders>
              <w:top w:val="nil"/>
              <w:left w:val="nil"/>
              <w:bottom w:val="nil"/>
              <w:right w:val="nil"/>
            </w:tcBorders>
            <w:shd w:val="clear" w:color="auto" w:fill="auto"/>
            <w:noWrap/>
            <w:vAlign w:val="bottom"/>
          </w:tcPr>
          <w:p w:rsidR="007253B5" w:rsidRPr="00D47893" w:rsidRDefault="007253B5" w:rsidP="007253B5">
            <w:pPr>
              <w:pStyle w:val="TableText"/>
              <w:rPr>
                <w:b/>
              </w:rPr>
            </w:pPr>
            <w:r w:rsidRPr="00D47893">
              <w:rPr>
                <w:b/>
              </w:rPr>
              <w:t>All irrigation activities</w:t>
            </w:r>
          </w:p>
        </w:tc>
        <w:tc>
          <w:tcPr>
            <w:tcW w:w="1275" w:type="pct"/>
            <w:tcBorders>
              <w:top w:val="nil"/>
              <w:left w:val="nil"/>
              <w:bottom w:val="nil"/>
              <w:right w:val="nil"/>
            </w:tcBorders>
            <w:shd w:val="clear" w:color="auto" w:fill="auto"/>
            <w:noWrap/>
          </w:tcPr>
          <w:p w:rsidR="007253B5" w:rsidRPr="00D47893" w:rsidRDefault="007253B5" w:rsidP="007253B5">
            <w:pPr>
              <w:pStyle w:val="TableText"/>
              <w:jc w:val="right"/>
              <w:rPr>
                <w:b/>
              </w:rPr>
            </w:pPr>
            <w:r w:rsidRPr="00D47893">
              <w:rPr>
                <w:b/>
              </w:rPr>
              <w:t>4,</w:t>
            </w:r>
            <w:r>
              <w:rPr>
                <w:b/>
              </w:rPr>
              <w:t>911.3</w:t>
            </w:r>
          </w:p>
        </w:tc>
        <w:tc>
          <w:tcPr>
            <w:tcW w:w="1275" w:type="pct"/>
            <w:tcBorders>
              <w:top w:val="nil"/>
              <w:left w:val="nil"/>
              <w:bottom w:val="nil"/>
              <w:right w:val="nil"/>
            </w:tcBorders>
            <w:shd w:val="clear" w:color="auto" w:fill="auto"/>
            <w:noWrap/>
          </w:tcPr>
          <w:p w:rsidR="007253B5" w:rsidRPr="00D47893" w:rsidRDefault="007253B5" w:rsidP="007253B5">
            <w:pPr>
              <w:pStyle w:val="TableText"/>
              <w:jc w:val="right"/>
              <w:rPr>
                <w:b/>
              </w:rPr>
            </w:pPr>
            <w:r w:rsidRPr="00D47893">
              <w:rPr>
                <w:b/>
              </w:rPr>
              <w:t>4</w:t>
            </w:r>
            <w:r>
              <w:rPr>
                <w:b/>
              </w:rPr>
              <w:t>,948.7</w:t>
            </w:r>
          </w:p>
        </w:tc>
        <w:tc>
          <w:tcPr>
            <w:tcW w:w="1274" w:type="pct"/>
            <w:tcBorders>
              <w:top w:val="nil"/>
              <w:left w:val="nil"/>
              <w:bottom w:val="nil"/>
              <w:right w:val="nil"/>
            </w:tcBorders>
            <w:shd w:val="clear" w:color="auto" w:fill="auto"/>
            <w:noWrap/>
          </w:tcPr>
          <w:p w:rsidR="007253B5" w:rsidRPr="00D47893" w:rsidRDefault="007253B5" w:rsidP="007253B5">
            <w:pPr>
              <w:pStyle w:val="TableText"/>
              <w:jc w:val="right"/>
              <w:rPr>
                <w:b/>
              </w:rPr>
            </w:pPr>
            <w:r>
              <w:rPr>
                <w:b/>
              </w:rPr>
              <w:t>4,708.8</w:t>
            </w:r>
          </w:p>
        </w:tc>
      </w:tr>
      <w:tr w:rsidR="007253B5" w:rsidRPr="000D39AF" w:rsidTr="007253B5">
        <w:trPr>
          <w:trHeight w:val="300"/>
        </w:trPr>
        <w:tc>
          <w:tcPr>
            <w:tcW w:w="1176" w:type="pct"/>
            <w:tcBorders>
              <w:top w:val="nil"/>
              <w:left w:val="nil"/>
              <w:bottom w:val="single" w:sz="4" w:space="0" w:color="auto"/>
              <w:right w:val="nil"/>
            </w:tcBorders>
            <w:shd w:val="clear" w:color="auto" w:fill="auto"/>
            <w:noWrap/>
            <w:vAlign w:val="bottom"/>
          </w:tcPr>
          <w:p w:rsidR="007253B5" w:rsidRPr="000D39AF" w:rsidRDefault="007253B5" w:rsidP="007253B5">
            <w:pPr>
              <w:pStyle w:val="TableText"/>
            </w:pPr>
          </w:p>
        </w:tc>
        <w:tc>
          <w:tcPr>
            <w:tcW w:w="1275"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p>
        </w:tc>
        <w:tc>
          <w:tcPr>
            <w:tcW w:w="1275"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t>(0.8</w:t>
            </w:r>
            <w:r w:rsidRPr="00D610B8">
              <w:t>%</w:t>
            </w:r>
            <w:r>
              <w:t>)</w:t>
            </w:r>
          </w:p>
        </w:tc>
        <w:tc>
          <w:tcPr>
            <w:tcW w:w="1274"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t>(-4.1</w:t>
            </w:r>
            <w:r w:rsidRPr="00D610B8">
              <w:t>%</w:t>
            </w:r>
            <w:r>
              <w:t>)</w:t>
            </w:r>
          </w:p>
        </w:tc>
      </w:tr>
    </w:tbl>
    <w:p w:rsidR="007253B5" w:rsidRPr="007253B5" w:rsidRDefault="007253B5" w:rsidP="007253B5"/>
    <w:p w:rsidR="001A0266" w:rsidRDefault="00533D56">
      <w:pPr>
        <w:pStyle w:val="Heading2"/>
        <w:numPr>
          <w:ilvl w:val="0"/>
          <w:numId w:val="0"/>
        </w:numPr>
        <w:ind w:left="709" w:hanging="709"/>
      </w:pPr>
      <w:bookmarkStart w:id="101" w:name="_Toc430782160"/>
      <w:bookmarkStart w:id="102" w:name="_Toc34735530"/>
      <w:r>
        <w:lastRenderedPageBreak/>
        <w:t xml:space="preserve">Appendix A: </w:t>
      </w:r>
      <w:bookmarkEnd w:id="101"/>
      <w:r w:rsidR="007253B5">
        <w:t>The model</w:t>
      </w:r>
      <w:bookmarkEnd w:id="102"/>
    </w:p>
    <w:p w:rsidR="007253B5" w:rsidRDefault="007253B5" w:rsidP="007253B5">
      <w:pPr>
        <w:rPr>
          <w:lang w:eastAsia="ja-JP"/>
        </w:rPr>
      </w:pPr>
      <w:r>
        <w:rPr>
          <w:lang w:eastAsia="ja-JP"/>
        </w:rPr>
        <w:t xml:space="preserve">ABARES Water Trade Model is a data-driven economic model of the southern Murray-Darling Basin water market. The model is based on a comprehensive database containing information on water supply (allocations, entitlements, and carryover), water demand (irrigation area, water use) and water market (prices and trade flows) on a catchment scale over the period 2005–06 to 2018–19. This data is used to estimate a statistical model linking demand for irrigation water (by catchment and activity) with water market prices, commodity prices and rainfall. </w:t>
      </w:r>
    </w:p>
    <w:p w:rsidR="007253B5" w:rsidRDefault="007253B5" w:rsidP="007253B5">
      <w:pPr>
        <w:rPr>
          <w:lang w:eastAsia="ja-JP"/>
        </w:rPr>
      </w:pPr>
      <w:r>
        <w:rPr>
          <w:lang w:eastAsia="ja-JP"/>
        </w:rPr>
        <w:t>This statistical model is combined with a standard economic (partial equilibrium) framework, allowing for water to trade across activities and regions subject to limits on inter-regional water trading. As demonstrated by Gupta et al. (2018) the model is able to accurately recreate historical variations in water market prices and trade-flows, and irrigation water use. This combination of data and economic theory make the Water Trade Model a useful policy analysis tool that can be used to simulate the effects of specific climate or policy shocks, while also producing results consistent with historically observed data.</w:t>
      </w:r>
    </w:p>
    <w:p w:rsidR="007253B5" w:rsidRDefault="007253B5" w:rsidP="007253B5">
      <w:pPr>
        <w:rPr>
          <w:lang w:eastAsia="ja-JP"/>
        </w:rPr>
      </w:pPr>
      <w:r>
        <w:rPr>
          <w:lang w:eastAsia="ja-JP"/>
        </w:rPr>
        <w:t>However, like any economic model the Water Trade Model is a significant approximation of reality, and it is important to note some of the limitations of the model that are relevant for interpreting the results discussed in this paper.</w:t>
      </w:r>
    </w:p>
    <w:p w:rsidR="007253B5" w:rsidRDefault="007253B5" w:rsidP="007253B5">
      <w:pPr>
        <w:pStyle w:val="Heading4"/>
        <w:numPr>
          <w:ilvl w:val="0"/>
          <w:numId w:val="0"/>
        </w:numPr>
        <w:ind w:left="964" w:hanging="964"/>
        <w:rPr>
          <w:lang w:eastAsia="ja-JP"/>
        </w:rPr>
      </w:pPr>
      <w:r>
        <w:rPr>
          <w:lang w:eastAsia="ja-JP"/>
        </w:rPr>
        <w:t>Annual time scale</w:t>
      </w:r>
    </w:p>
    <w:p w:rsidR="007253B5" w:rsidRDefault="007253B5" w:rsidP="007253B5">
      <w:pPr>
        <w:rPr>
          <w:lang w:eastAsia="ja-JP"/>
        </w:rPr>
      </w:pPr>
      <w:r>
        <w:rPr>
          <w:lang w:eastAsia="ja-JP"/>
        </w:rPr>
        <w:t>The model operates on an annual (financial year) timescale, and the modelled water allocation prices presented in the report are all annual averages. In practice, water allocation prices can vary substantially within a water year. As such, monthly or daily water prices could be significantly higher or lower than the annual averages predicted by the model.</w:t>
      </w:r>
    </w:p>
    <w:p w:rsidR="007253B5" w:rsidRDefault="007253B5" w:rsidP="007253B5">
      <w:pPr>
        <w:pStyle w:val="Heading4"/>
        <w:numPr>
          <w:ilvl w:val="0"/>
          <w:numId w:val="0"/>
        </w:numPr>
        <w:ind w:left="964" w:hanging="964"/>
        <w:rPr>
          <w:lang w:eastAsia="ja-JP"/>
        </w:rPr>
      </w:pPr>
      <w:r>
        <w:rPr>
          <w:lang w:eastAsia="ja-JP"/>
        </w:rPr>
        <w:t>Trade constraints</w:t>
      </w:r>
    </w:p>
    <w:p w:rsidR="007253B5" w:rsidRDefault="007253B5" w:rsidP="007253B5">
      <w:r>
        <w:t>A number of hydrological constraints affect the volume of water that can be traded across the southern basin, and inter-regional trade is regulated by state governments using inter-valley trade limits. The model has been designed to take into account key trade limits including the Murrumbidgee IVT, the Goulburn-Murray IVT and the Barmah Choke limit. In reality these trade limits are complex and can apply at various times during the water year. However, the model uses an annual timescale and uses an annual total trade limit that is approximated using historical data and advice from a number of stakeholders. While the resulting modelled inter-regional trade flows are approximate, they generally match the historical data with a reasonable degree of accuracy (Gupta et al. 2018).</w:t>
      </w:r>
    </w:p>
    <w:p w:rsidR="007253B5" w:rsidRDefault="007253B5" w:rsidP="007253B5">
      <w:pPr>
        <w:pStyle w:val="Heading4"/>
        <w:numPr>
          <w:ilvl w:val="0"/>
          <w:numId w:val="0"/>
        </w:numPr>
        <w:ind w:left="964" w:hanging="964"/>
        <w:rPr>
          <w:lang w:eastAsia="ja-JP"/>
        </w:rPr>
      </w:pPr>
      <w:r>
        <w:rPr>
          <w:lang w:eastAsia="ja-JP"/>
        </w:rPr>
        <w:t>Commodity prices</w:t>
      </w:r>
    </w:p>
    <w:p w:rsidR="007253B5" w:rsidRDefault="007253B5" w:rsidP="007253B5">
      <w:pPr>
        <w:rPr>
          <w:lang w:eastAsia="ja-JP"/>
        </w:rPr>
      </w:pPr>
      <w:r>
        <w:rPr>
          <w:lang w:eastAsia="ja-JP"/>
        </w:rPr>
        <w:t xml:space="preserve">Since the scenarios presented in this report are forward-looking simulations, commodity prices are fixed to 2018–19 values (for all irrigation activities except hay). Long-term forecasts of commodity prices are not taken into account. Hay prices are allowed to vary in line with the assumed climate sequence (hay prices typically increase in dry </w:t>
      </w:r>
      <w:r w:rsidR="00A87B5F">
        <w:rPr>
          <w:lang w:eastAsia="ja-JP"/>
        </w:rPr>
        <w:t>years and decrease in wet years</w:t>
      </w:r>
      <w:r>
        <w:rPr>
          <w:lang w:eastAsia="ja-JP"/>
        </w:rPr>
        <w:t>).</w:t>
      </w:r>
    </w:p>
    <w:p w:rsidR="007253B5" w:rsidRDefault="007253B5" w:rsidP="007253B5">
      <w:pPr>
        <w:spacing w:after="0" w:line="240" w:lineRule="auto"/>
        <w:rPr>
          <w:lang w:eastAsia="ja-JP"/>
        </w:rPr>
      </w:pPr>
      <w:r>
        <w:rPr>
          <w:lang w:eastAsia="ja-JP"/>
        </w:rPr>
        <w:br w:type="page"/>
      </w:r>
    </w:p>
    <w:p w:rsidR="007253B5" w:rsidRDefault="007253B5" w:rsidP="007253B5">
      <w:pPr>
        <w:pStyle w:val="Heading4"/>
        <w:numPr>
          <w:ilvl w:val="0"/>
          <w:numId w:val="0"/>
        </w:numPr>
        <w:ind w:left="964" w:hanging="964"/>
        <w:rPr>
          <w:lang w:eastAsia="ja-JP"/>
        </w:rPr>
      </w:pPr>
      <w:r>
        <w:rPr>
          <w:lang w:eastAsia="ja-JP"/>
        </w:rPr>
        <w:lastRenderedPageBreak/>
        <w:t>Water recovery</w:t>
      </w:r>
    </w:p>
    <w:p w:rsidR="007253B5" w:rsidRDefault="007253B5" w:rsidP="007253B5">
      <w:pPr>
        <w:rPr>
          <w:lang w:eastAsia="ja-JP"/>
        </w:rPr>
      </w:pPr>
      <w:r>
        <w:rPr>
          <w:lang w:eastAsia="ja-JP"/>
        </w:rPr>
        <w:t>Future water recovery is assumed to occur entirely through on-farm infrastructure upgrades. Further, these upgrades are assumed to have some positive effects on irrigation water demand and productivity (based on ABARES research). Future research could examine alternative recovery mechanisms (such as buybacks) that will have different effects on water markets.</w:t>
      </w:r>
    </w:p>
    <w:p w:rsidR="007253B5" w:rsidRDefault="007253B5" w:rsidP="007253B5">
      <w:pPr>
        <w:pStyle w:val="Heading4"/>
        <w:numPr>
          <w:ilvl w:val="0"/>
          <w:numId w:val="0"/>
        </w:numPr>
        <w:ind w:left="964" w:hanging="964"/>
        <w:rPr>
          <w:lang w:eastAsia="ja-JP"/>
        </w:rPr>
      </w:pPr>
      <w:r>
        <w:rPr>
          <w:lang w:eastAsia="ja-JP"/>
        </w:rPr>
        <w:t>Structural change</w:t>
      </w:r>
    </w:p>
    <w:p w:rsidR="007253B5" w:rsidRPr="009353B3" w:rsidRDefault="007253B5" w:rsidP="007253B5">
      <w:pPr>
        <w:rPr>
          <w:lang w:eastAsia="ja-JP"/>
        </w:rPr>
      </w:pPr>
      <w:r>
        <w:rPr>
          <w:lang w:eastAsia="ja-JP"/>
        </w:rPr>
        <w:t>The water trade model is a ‘short-run’ model that takes irrigation development and capital investment as fixed. This means that the model does not consider potential future changes in horticultural plantings (beyond the maturation of recent plantings), or structural changes in other irrigation sectors (such as the size of the dairy cattle herd). Future changes in productivity or technological advancements are also not taken into account. In practice, such changes have the potential to moderate water price increases. Future research could examine the interaction between industry structural adjustment and water market outcomes in more detail.</w:t>
      </w:r>
    </w:p>
    <w:p w:rsidR="007253B5" w:rsidRDefault="007253B5" w:rsidP="007253B5">
      <w:pPr>
        <w:pStyle w:val="Heading4"/>
        <w:numPr>
          <w:ilvl w:val="0"/>
          <w:numId w:val="0"/>
        </w:numPr>
        <w:ind w:left="964" w:hanging="964"/>
        <w:rPr>
          <w:lang w:eastAsia="ja-JP"/>
        </w:rPr>
      </w:pPr>
      <w:r>
        <w:rPr>
          <w:lang w:eastAsia="ja-JP"/>
        </w:rPr>
        <w:t>Climate change</w:t>
      </w:r>
    </w:p>
    <w:p w:rsidR="007253B5" w:rsidRDefault="007253B5" w:rsidP="007253B5">
      <w:pPr>
        <w:rPr>
          <w:lang w:eastAsia="ja-JP"/>
        </w:rPr>
      </w:pPr>
      <w:r>
        <w:rPr>
          <w:lang w:eastAsia="ja-JP"/>
        </w:rPr>
        <w:t>In the ‘current market’ and ‘future market’ scenarios, a historical climate sequence is used (2005–06 to 2018–19), which is particularly dry in the context of the longer historical record and may differ from average future climate conditions. The future market (dry) scenario uses the same sequence, however rainfall and allocations are assumed to be 3 per cent and 11 per cent lower across the southern basin. Future research could incorporate climate change projections to provide a more accurate estimate of potential future water supply.</w:t>
      </w:r>
    </w:p>
    <w:p w:rsidR="007253B5" w:rsidRDefault="007253B5" w:rsidP="007253B5">
      <w:pPr>
        <w:pStyle w:val="Heading4"/>
        <w:numPr>
          <w:ilvl w:val="0"/>
          <w:numId w:val="0"/>
        </w:numPr>
        <w:ind w:left="964" w:hanging="964"/>
        <w:rPr>
          <w:lang w:eastAsia="ja-JP"/>
        </w:rPr>
      </w:pPr>
      <w:r>
        <w:rPr>
          <w:lang w:eastAsia="ja-JP"/>
        </w:rPr>
        <w:t>Carryover</w:t>
      </w:r>
    </w:p>
    <w:p w:rsidR="007253B5" w:rsidRDefault="007253B5" w:rsidP="007253B5">
      <w:pPr>
        <w:rPr>
          <w:lang w:eastAsia="ja-JP"/>
        </w:rPr>
      </w:pPr>
      <w:r>
        <w:rPr>
          <w:lang w:eastAsia="ja-JP"/>
        </w:rPr>
        <w:t>In this study, the model takes</w:t>
      </w:r>
      <w:r w:rsidRPr="00F676F5">
        <w:rPr>
          <w:lang w:eastAsia="ja-JP"/>
        </w:rPr>
        <w:t xml:space="preserve"> carryover volumes as fixed (as part of the historical climate sequence). In practice, changes in water supply and demand could induce changes in carryover behaviour which would have implications for water prices. For example, increased carryover volumes would tend to smooth water prices between dry and wet years. Future research could relax this assumption, simulating carryover behaviour as well as inter-regional trade</w:t>
      </w:r>
      <w:r>
        <w:rPr>
          <w:lang w:eastAsia="ja-JP"/>
        </w:rPr>
        <w:t>.</w:t>
      </w:r>
    </w:p>
    <w:p w:rsidR="007253B5" w:rsidRDefault="007253B5" w:rsidP="007253B5">
      <w:pPr>
        <w:pStyle w:val="Heading2"/>
        <w:numPr>
          <w:ilvl w:val="0"/>
          <w:numId w:val="0"/>
        </w:numPr>
        <w:ind w:left="720" w:hanging="720"/>
      </w:pPr>
      <w:bookmarkStart w:id="103" w:name="_Toc34735531"/>
      <w:r>
        <w:lastRenderedPageBreak/>
        <w:t>Appendix B: Additional tables</w:t>
      </w:r>
      <w:bookmarkEnd w:id="103"/>
    </w:p>
    <w:p w:rsidR="007253B5" w:rsidRPr="007253B5" w:rsidRDefault="007253B5" w:rsidP="007253B5">
      <w:pPr>
        <w:rPr>
          <w:lang w:eastAsia="ja-JP"/>
        </w:rPr>
      </w:pPr>
      <w:r w:rsidRPr="00D07505">
        <w:t>Scenario results for the</w:t>
      </w:r>
      <w:r>
        <w:t xml:space="preserve"> water allocation price (Table </w:t>
      </w:r>
      <w:r w:rsidR="006F7B0E">
        <w:t>B1</w:t>
      </w:r>
      <w:r>
        <w:t xml:space="preserve">), net trade (Table </w:t>
      </w:r>
      <w:r w:rsidR="006F7B0E">
        <w:t>B2</w:t>
      </w:r>
      <w:r>
        <w:t xml:space="preserve"> and Table </w:t>
      </w:r>
      <w:r w:rsidR="006F7B0E">
        <w:t>B3</w:t>
      </w:r>
      <w:r w:rsidRPr="00D07505">
        <w:t>) a</w:t>
      </w:r>
      <w:r w:rsidR="006F7B0E">
        <w:t>nd irrigation water use (Table B4</w:t>
      </w:r>
      <w:r w:rsidRPr="00D07505">
        <w:t xml:space="preserve">) are summarised </w:t>
      </w:r>
      <w:r w:rsidR="006F7B0E">
        <w:t xml:space="preserve">in the tables below. </w:t>
      </w:r>
      <w:r w:rsidR="00A227CC">
        <w:t>The percentage chance of modelled allocation prices being within a certain range is shown in Table B5, for each scenario. Tables B6, B7 and B8</w:t>
      </w:r>
      <w:r w:rsidR="00D47493">
        <w:t xml:space="preserve"> show the average water use in ‘dry’, ‘wet’, and ‘average’ years, </w:t>
      </w:r>
      <w:r w:rsidR="00A227CC">
        <w:t>by irrigation activity</w:t>
      </w:r>
      <w:r w:rsidR="00D47493">
        <w:t xml:space="preserve">. </w:t>
      </w:r>
      <w:r w:rsidR="00A227CC">
        <w:t>Table B9</w:t>
      </w:r>
      <w:r>
        <w:t xml:space="preserve"> shows the percentage change in production by </w:t>
      </w:r>
      <w:r w:rsidR="00A227CC">
        <w:t xml:space="preserve">irrigation </w:t>
      </w:r>
      <w:r>
        <w:t>activity.</w:t>
      </w:r>
    </w:p>
    <w:p w:rsidR="007253B5" w:rsidRDefault="007253B5" w:rsidP="007253B5">
      <w:pPr>
        <w:pStyle w:val="Caption"/>
      </w:pPr>
      <w:bookmarkStart w:id="104" w:name="_Toc25747085"/>
      <w:bookmarkStart w:id="105" w:name="_Toc33629230"/>
      <w:bookmarkStart w:id="106" w:name="_Toc33629263"/>
      <w:bookmarkStart w:id="107" w:name="_Toc33712873"/>
      <w:bookmarkStart w:id="108" w:name="_Toc34318707"/>
      <w:bookmarkStart w:id="109" w:name="_Toc34735537"/>
      <w:bookmarkStart w:id="110" w:name="_Toc34735559"/>
      <w:r>
        <w:t>Table B</w:t>
      </w:r>
      <w:r>
        <w:rPr>
          <w:noProof/>
        </w:rPr>
        <w:fldChar w:fldCharType="begin"/>
      </w:r>
      <w:r>
        <w:rPr>
          <w:noProof/>
        </w:rPr>
        <w:instrText xml:space="preserve"> SEQ Table_B \* ARABIC </w:instrText>
      </w:r>
      <w:r>
        <w:rPr>
          <w:noProof/>
        </w:rPr>
        <w:fldChar w:fldCharType="separate"/>
      </w:r>
      <w:r w:rsidR="004D407F">
        <w:rPr>
          <w:noProof/>
        </w:rPr>
        <w:t>1</w:t>
      </w:r>
      <w:r>
        <w:rPr>
          <w:noProof/>
        </w:rPr>
        <w:fldChar w:fldCharType="end"/>
      </w:r>
      <w:r>
        <w:t xml:space="preserve"> Average water allocation price ($/ML) by trading zone</w:t>
      </w:r>
      <w:bookmarkEnd w:id="104"/>
      <w:bookmarkEnd w:id="105"/>
      <w:bookmarkEnd w:id="106"/>
      <w:bookmarkEnd w:id="107"/>
      <w:bookmarkEnd w:id="108"/>
      <w:bookmarkEnd w:id="109"/>
      <w:bookmarkEnd w:id="110"/>
    </w:p>
    <w:tbl>
      <w:tblPr>
        <w:tblW w:w="5158" w:type="pct"/>
        <w:tblLayout w:type="fixed"/>
        <w:tblLook w:val="04A0" w:firstRow="1" w:lastRow="0" w:firstColumn="1" w:lastColumn="0" w:noHBand="0" w:noVBand="1"/>
      </w:tblPr>
      <w:tblGrid>
        <w:gridCol w:w="1985"/>
        <w:gridCol w:w="1559"/>
        <w:gridCol w:w="1372"/>
        <w:gridCol w:w="1372"/>
        <w:gridCol w:w="1372"/>
        <w:gridCol w:w="1697"/>
      </w:tblGrid>
      <w:tr w:rsidR="007253B5" w:rsidRPr="00DB5749" w:rsidTr="007253B5">
        <w:trPr>
          <w:trHeight w:val="300"/>
        </w:trPr>
        <w:tc>
          <w:tcPr>
            <w:tcW w:w="1061"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rPr>
                <w:b/>
                <w:lang w:eastAsia="en-AU"/>
              </w:rPr>
            </w:pPr>
            <w:r w:rsidRPr="00DB5749">
              <w:rPr>
                <w:b/>
                <w:lang w:eastAsia="en-AU"/>
              </w:rPr>
              <w:t>Scenario</w:t>
            </w:r>
          </w:p>
        </w:tc>
        <w:tc>
          <w:tcPr>
            <w:tcW w:w="8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Murrumbidgee</w:t>
            </w:r>
          </w:p>
        </w:tc>
        <w:tc>
          <w:tcPr>
            <w:tcW w:w="7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Lower Darling</w:t>
            </w:r>
          </w:p>
        </w:tc>
        <w:tc>
          <w:tcPr>
            <w:tcW w:w="7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Barmah Above</w:t>
            </w:r>
          </w:p>
        </w:tc>
        <w:tc>
          <w:tcPr>
            <w:tcW w:w="7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Barmah Below</w:t>
            </w:r>
          </w:p>
        </w:tc>
        <w:tc>
          <w:tcPr>
            <w:tcW w:w="907"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Northern Victoria</w:t>
            </w:r>
          </w:p>
        </w:tc>
      </w:tr>
      <w:tr w:rsidR="007253B5" w:rsidRPr="00DB5749" w:rsidTr="007253B5">
        <w:trPr>
          <w:trHeight w:val="300"/>
        </w:trPr>
        <w:tc>
          <w:tcPr>
            <w:tcW w:w="1061"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rPr>
                <w:b/>
                <w:lang w:eastAsia="en-AU"/>
              </w:rPr>
            </w:pPr>
            <w:r>
              <w:rPr>
                <w:b/>
                <w:lang w:eastAsia="en-AU"/>
              </w:rPr>
              <w:t>Current market</w:t>
            </w:r>
          </w:p>
        </w:tc>
        <w:tc>
          <w:tcPr>
            <w:tcW w:w="8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lang w:eastAsia="en-AU"/>
              </w:rPr>
            </w:pPr>
          </w:p>
        </w:tc>
        <w:tc>
          <w:tcPr>
            <w:tcW w:w="7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c>
          <w:tcPr>
            <w:tcW w:w="908"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Average</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306</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305</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212</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308</w:t>
            </w:r>
          </w:p>
        </w:tc>
        <w:tc>
          <w:tcPr>
            <w:tcW w:w="908"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356</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Minimum</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63</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63</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32</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63</w:t>
            </w: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150</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Maximum</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630</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769</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536</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769</w:t>
            </w: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825</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rPr>
                <w:b/>
                <w:lang w:eastAsia="en-AU"/>
              </w:rPr>
            </w:pPr>
            <w:r>
              <w:rPr>
                <w:b/>
                <w:lang w:eastAsia="en-AU"/>
              </w:rPr>
              <w:t>Future market</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Average</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372</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426</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241</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426</w:t>
            </w: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455</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Minimum</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139</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169</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54</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169</w:t>
            </w: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250</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Maximum</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665</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955</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547</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955</w:t>
            </w: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955</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rPr>
                <w:b/>
                <w:lang w:eastAsia="en-AU"/>
              </w:rPr>
            </w:pPr>
            <w:r>
              <w:rPr>
                <w:b/>
                <w:lang w:eastAsia="en-AU"/>
              </w:rPr>
              <w:t>Future market (dry)</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rFonts w:ascii="Times New Roman" w:hAnsi="Times New Roman"/>
                <w:sz w:val="20"/>
                <w:szCs w:val="20"/>
                <w:lang w:eastAsia="en-AU"/>
              </w:rPr>
            </w:pP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Average</w:t>
            </w:r>
          </w:p>
        </w:tc>
        <w:tc>
          <w:tcPr>
            <w:tcW w:w="8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434</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510</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274</w:t>
            </w:r>
          </w:p>
        </w:tc>
        <w:tc>
          <w:tcPr>
            <w:tcW w:w="733"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510</w:t>
            </w:r>
          </w:p>
        </w:tc>
        <w:tc>
          <w:tcPr>
            <w:tcW w:w="907" w:type="pct"/>
            <w:tcBorders>
              <w:top w:val="nil"/>
              <w:left w:val="nil"/>
              <w:bottom w:val="nil"/>
              <w:right w:val="nil"/>
            </w:tcBorders>
            <w:shd w:val="clear" w:color="auto" w:fill="auto"/>
            <w:noWrap/>
            <w:hideMark/>
          </w:tcPr>
          <w:p w:rsidR="007253B5" w:rsidRPr="00DB5749" w:rsidRDefault="007253B5" w:rsidP="007253B5">
            <w:pPr>
              <w:pStyle w:val="TableText"/>
              <w:jc w:val="right"/>
              <w:rPr>
                <w:lang w:eastAsia="en-AU"/>
              </w:rPr>
            </w:pPr>
            <w:r w:rsidRPr="00F679B2">
              <w:t>533</w:t>
            </w:r>
          </w:p>
        </w:tc>
      </w:tr>
      <w:tr w:rsidR="007253B5" w:rsidRPr="00DB5749" w:rsidTr="007253B5">
        <w:trPr>
          <w:trHeight w:val="300"/>
        </w:trPr>
        <w:tc>
          <w:tcPr>
            <w:tcW w:w="1061" w:type="pct"/>
            <w:tcBorders>
              <w:top w:val="nil"/>
              <w:left w:val="nil"/>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Minimum</w:t>
            </w:r>
          </w:p>
        </w:tc>
        <w:tc>
          <w:tcPr>
            <w:tcW w:w="833" w:type="pct"/>
            <w:tcBorders>
              <w:top w:val="nil"/>
              <w:left w:val="nil"/>
              <w:right w:val="nil"/>
            </w:tcBorders>
            <w:shd w:val="clear" w:color="auto" w:fill="auto"/>
            <w:noWrap/>
            <w:hideMark/>
          </w:tcPr>
          <w:p w:rsidR="007253B5" w:rsidRPr="00DB5749" w:rsidRDefault="007253B5" w:rsidP="007253B5">
            <w:pPr>
              <w:pStyle w:val="TableText"/>
              <w:jc w:val="right"/>
              <w:rPr>
                <w:lang w:eastAsia="en-AU"/>
              </w:rPr>
            </w:pPr>
            <w:r w:rsidRPr="00F679B2">
              <w:t>201</w:t>
            </w:r>
          </w:p>
        </w:tc>
        <w:tc>
          <w:tcPr>
            <w:tcW w:w="733" w:type="pct"/>
            <w:tcBorders>
              <w:top w:val="nil"/>
              <w:left w:val="nil"/>
              <w:right w:val="nil"/>
            </w:tcBorders>
            <w:shd w:val="clear" w:color="auto" w:fill="auto"/>
            <w:noWrap/>
            <w:hideMark/>
          </w:tcPr>
          <w:p w:rsidR="007253B5" w:rsidRPr="00DB5749" w:rsidRDefault="007253B5" w:rsidP="007253B5">
            <w:pPr>
              <w:pStyle w:val="TableText"/>
              <w:jc w:val="right"/>
              <w:rPr>
                <w:lang w:eastAsia="en-AU"/>
              </w:rPr>
            </w:pPr>
            <w:r w:rsidRPr="00F679B2">
              <w:t>241</w:t>
            </w:r>
          </w:p>
        </w:tc>
        <w:tc>
          <w:tcPr>
            <w:tcW w:w="733" w:type="pct"/>
            <w:tcBorders>
              <w:top w:val="nil"/>
              <w:left w:val="nil"/>
              <w:right w:val="nil"/>
            </w:tcBorders>
            <w:shd w:val="clear" w:color="auto" w:fill="auto"/>
            <w:noWrap/>
            <w:hideMark/>
          </w:tcPr>
          <w:p w:rsidR="007253B5" w:rsidRPr="00DB5749" w:rsidRDefault="007253B5" w:rsidP="007253B5">
            <w:pPr>
              <w:pStyle w:val="TableText"/>
              <w:jc w:val="right"/>
              <w:rPr>
                <w:lang w:eastAsia="en-AU"/>
              </w:rPr>
            </w:pPr>
            <w:r w:rsidRPr="00F679B2">
              <w:t>93</w:t>
            </w:r>
          </w:p>
        </w:tc>
        <w:tc>
          <w:tcPr>
            <w:tcW w:w="733" w:type="pct"/>
            <w:tcBorders>
              <w:top w:val="nil"/>
              <w:left w:val="nil"/>
              <w:right w:val="nil"/>
            </w:tcBorders>
            <w:shd w:val="clear" w:color="auto" w:fill="auto"/>
            <w:noWrap/>
            <w:hideMark/>
          </w:tcPr>
          <w:p w:rsidR="007253B5" w:rsidRPr="00DB5749" w:rsidRDefault="007253B5" w:rsidP="007253B5">
            <w:pPr>
              <w:pStyle w:val="TableText"/>
              <w:jc w:val="right"/>
              <w:rPr>
                <w:lang w:eastAsia="en-AU"/>
              </w:rPr>
            </w:pPr>
            <w:r w:rsidRPr="00F679B2">
              <w:t>241</w:t>
            </w:r>
          </w:p>
        </w:tc>
        <w:tc>
          <w:tcPr>
            <w:tcW w:w="907" w:type="pct"/>
            <w:tcBorders>
              <w:top w:val="nil"/>
              <w:left w:val="nil"/>
              <w:right w:val="nil"/>
            </w:tcBorders>
            <w:shd w:val="clear" w:color="auto" w:fill="auto"/>
            <w:noWrap/>
            <w:hideMark/>
          </w:tcPr>
          <w:p w:rsidR="007253B5" w:rsidRPr="00DB5749" w:rsidRDefault="007253B5" w:rsidP="007253B5">
            <w:pPr>
              <w:pStyle w:val="TableText"/>
              <w:jc w:val="right"/>
              <w:rPr>
                <w:lang w:eastAsia="en-AU"/>
              </w:rPr>
            </w:pPr>
            <w:r w:rsidRPr="00F679B2">
              <w:t>322</w:t>
            </w:r>
          </w:p>
        </w:tc>
      </w:tr>
      <w:tr w:rsidR="007253B5" w:rsidRPr="00DB5749" w:rsidTr="007253B5">
        <w:trPr>
          <w:trHeight w:val="300"/>
        </w:trPr>
        <w:tc>
          <w:tcPr>
            <w:tcW w:w="1061" w:type="pct"/>
            <w:tcBorders>
              <w:top w:val="nil"/>
              <w:left w:val="nil"/>
              <w:bottom w:val="single" w:sz="4" w:space="0" w:color="auto"/>
              <w:right w:val="nil"/>
            </w:tcBorders>
            <w:shd w:val="clear" w:color="auto" w:fill="auto"/>
            <w:noWrap/>
            <w:vAlign w:val="bottom"/>
            <w:hideMark/>
          </w:tcPr>
          <w:p w:rsidR="007253B5" w:rsidRPr="00DB5749" w:rsidRDefault="007253B5" w:rsidP="007253B5">
            <w:pPr>
              <w:pStyle w:val="TableText"/>
              <w:ind w:left="170"/>
              <w:rPr>
                <w:lang w:eastAsia="en-AU"/>
              </w:rPr>
            </w:pPr>
            <w:r w:rsidRPr="00DB5749">
              <w:rPr>
                <w:lang w:eastAsia="en-AU"/>
              </w:rPr>
              <w:t>Maximum</w:t>
            </w:r>
          </w:p>
        </w:tc>
        <w:tc>
          <w:tcPr>
            <w:tcW w:w="833" w:type="pct"/>
            <w:tcBorders>
              <w:top w:val="nil"/>
              <w:left w:val="nil"/>
              <w:bottom w:val="single" w:sz="4" w:space="0" w:color="auto"/>
              <w:right w:val="nil"/>
            </w:tcBorders>
            <w:shd w:val="clear" w:color="auto" w:fill="auto"/>
            <w:noWrap/>
            <w:hideMark/>
          </w:tcPr>
          <w:p w:rsidR="007253B5" w:rsidRPr="00DB5749" w:rsidRDefault="007253B5" w:rsidP="007253B5">
            <w:pPr>
              <w:pStyle w:val="TableText"/>
              <w:jc w:val="right"/>
              <w:rPr>
                <w:lang w:eastAsia="en-AU"/>
              </w:rPr>
            </w:pPr>
            <w:r w:rsidRPr="00F679B2">
              <w:t>712</w:t>
            </w:r>
          </w:p>
        </w:tc>
        <w:tc>
          <w:tcPr>
            <w:tcW w:w="733" w:type="pct"/>
            <w:tcBorders>
              <w:top w:val="nil"/>
              <w:left w:val="nil"/>
              <w:bottom w:val="single" w:sz="4" w:space="0" w:color="auto"/>
              <w:right w:val="nil"/>
            </w:tcBorders>
            <w:shd w:val="clear" w:color="auto" w:fill="auto"/>
            <w:noWrap/>
            <w:hideMark/>
          </w:tcPr>
          <w:p w:rsidR="007253B5" w:rsidRPr="00DB5749" w:rsidRDefault="007253B5" w:rsidP="007253B5">
            <w:pPr>
              <w:pStyle w:val="TableText"/>
              <w:jc w:val="right"/>
              <w:rPr>
                <w:lang w:eastAsia="en-AU"/>
              </w:rPr>
            </w:pPr>
            <w:r w:rsidRPr="00F679B2">
              <w:t>1075</w:t>
            </w:r>
          </w:p>
        </w:tc>
        <w:tc>
          <w:tcPr>
            <w:tcW w:w="733" w:type="pct"/>
            <w:tcBorders>
              <w:top w:val="nil"/>
              <w:left w:val="nil"/>
              <w:bottom w:val="single" w:sz="4" w:space="0" w:color="auto"/>
              <w:right w:val="nil"/>
            </w:tcBorders>
            <w:shd w:val="clear" w:color="auto" w:fill="auto"/>
            <w:noWrap/>
            <w:hideMark/>
          </w:tcPr>
          <w:p w:rsidR="007253B5" w:rsidRPr="00DB5749" w:rsidRDefault="007253B5" w:rsidP="007253B5">
            <w:pPr>
              <w:pStyle w:val="TableText"/>
              <w:jc w:val="right"/>
              <w:rPr>
                <w:lang w:eastAsia="en-AU"/>
              </w:rPr>
            </w:pPr>
            <w:r w:rsidRPr="00F679B2">
              <w:t>560</w:t>
            </w:r>
          </w:p>
        </w:tc>
        <w:tc>
          <w:tcPr>
            <w:tcW w:w="733" w:type="pct"/>
            <w:tcBorders>
              <w:top w:val="nil"/>
              <w:left w:val="nil"/>
              <w:bottom w:val="single" w:sz="4" w:space="0" w:color="auto"/>
              <w:right w:val="nil"/>
            </w:tcBorders>
            <w:shd w:val="clear" w:color="auto" w:fill="auto"/>
            <w:noWrap/>
            <w:hideMark/>
          </w:tcPr>
          <w:p w:rsidR="007253B5" w:rsidRPr="00DB5749" w:rsidRDefault="007253B5" w:rsidP="007253B5">
            <w:pPr>
              <w:pStyle w:val="TableText"/>
              <w:jc w:val="right"/>
              <w:rPr>
                <w:lang w:eastAsia="en-AU"/>
              </w:rPr>
            </w:pPr>
            <w:r w:rsidRPr="00F679B2">
              <w:t>1075</w:t>
            </w:r>
          </w:p>
        </w:tc>
        <w:tc>
          <w:tcPr>
            <w:tcW w:w="907" w:type="pct"/>
            <w:tcBorders>
              <w:top w:val="nil"/>
              <w:left w:val="nil"/>
              <w:bottom w:val="single" w:sz="4" w:space="0" w:color="auto"/>
              <w:right w:val="nil"/>
            </w:tcBorders>
            <w:shd w:val="clear" w:color="auto" w:fill="auto"/>
            <w:noWrap/>
            <w:hideMark/>
          </w:tcPr>
          <w:p w:rsidR="007253B5" w:rsidRPr="00DB5749" w:rsidRDefault="007253B5" w:rsidP="007253B5">
            <w:pPr>
              <w:pStyle w:val="TableText"/>
              <w:jc w:val="right"/>
              <w:rPr>
                <w:lang w:eastAsia="en-AU"/>
              </w:rPr>
            </w:pPr>
            <w:r w:rsidRPr="00F679B2">
              <w:t>1075</w:t>
            </w:r>
          </w:p>
        </w:tc>
      </w:tr>
    </w:tbl>
    <w:p w:rsidR="007253B5" w:rsidRPr="00DB5749" w:rsidRDefault="007253B5" w:rsidP="007253B5">
      <w:pPr>
        <w:pStyle w:val="FigureTableNoteSource"/>
      </w:pPr>
      <w:r>
        <w:t xml:space="preserve">Note: Catchments within the same trading zone are able to freely trade with each other and have the same water price. </w:t>
      </w:r>
      <w:r w:rsidRPr="00DB5749">
        <w:rPr>
          <w:b/>
        </w:rPr>
        <w:t>Barmah Above</w:t>
      </w:r>
      <w:r>
        <w:t xml:space="preserve"> trading zone includes the NSW Murray Above and Vic. Murray Above; </w:t>
      </w:r>
      <w:r w:rsidRPr="00DB5749">
        <w:rPr>
          <w:b/>
        </w:rPr>
        <w:t>Barmah Below</w:t>
      </w:r>
      <w:r>
        <w:t xml:space="preserve"> trading zone includes the NSW Murray Below, Vic. Murray Below and the SA Murray; </w:t>
      </w:r>
      <w:r w:rsidRPr="00DB5749">
        <w:rPr>
          <w:b/>
        </w:rPr>
        <w:t>Northern Victoria</w:t>
      </w:r>
      <w:r>
        <w:t xml:space="preserve"> trading zone includes Vic. Goulburn-Broken and Vic. Loddon-Campaspe.</w:t>
      </w:r>
    </w:p>
    <w:p w:rsidR="007253B5" w:rsidRDefault="007253B5" w:rsidP="007253B5">
      <w:pPr>
        <w:pStyle w:val="Caption"/>
      </w:pPr>
      <w:bookmarkStart w:id="111" w:name="_Toc25747086"/>
      <w:bookmarkStart w:id="112" w:name="_Toc33629231"/>
      <w:bookmarkStart w:id="113" w:name="_Toc33629264"/>
      <w:bookmarkStart w:id="114" w:name="_Toc33712874"/>
      <w:bookmarkStart w:id="115" w:name="_Toc34318708"/>
      <w:bookmarkStart w:id="116" w:name="_Toc34735538"/>
      <w:bookmarkStart w:id="117" w:name="_Toc34735560"/>
      <w:r>
        <w:t xml:space="preserve">Table </w:t>
      </w:r>
      <w:r w:rsidR="006F7B0E">
        <w:t>B</w:t>
      </w:r>
      <w:r w:rsidR="006F7B0E">
        <w:rPr>
          <w:noProof/>
        </w:rPr>
        <w:fldChar w:fldCharType="begin"/>
      </w:r>
      <w:r w:rsidR="006F7B0E">
        <w:rPr>
          <w:noProof/>
        </w:rPr>
        <w:instrText xml:space="preserve"> SEQ Table_B \* ARABIC </w:instrText>
      </w:r>
      <w:r w:rsidR="006F7B0E">
        <w:rPr>
          <w:noProof/>
        </w:rPr>
        <w:fldChar w:fldCharType="separate"/>
      </w:r>
      <w:r w:rsidR="004D407F">
        <w:rPr>
          <w:noProof/>
        </w:rPr>
        <w:t>2</w:t>
      </w:r>
      <w:r w:rsidR="006F7B0E">
        <w:rPr>
          <w:noProof/>
        </w:rPr>
        <w:fldChar w:fldCharType="end"/>
      </w:r>
      <w:r>
        <w:t xml:space="preserve"> Average net trade (GL) by trading zone</w:t>
      </w:r>
      <w:bookmarkEnd w:id="111"/>
      <w:bookmarkEnd w:id="112"/>
      <w:bookmarkEnd w:id="113"/>
      <w:bookmarkEnd w:id="114"/>
      <w:bookmarkEnd w:id="115"/>
      <w:bookmarkEnd w:id="116"/>
      <w:bookmarkEnd w:id="117"/>
    </w:p>
    <w:tbl>
      <w:tblPr>
        <w:tblW w:w="5158" w:type="pct"/>
        <w:tblLayout w:type="fixed"/>
        <w:tblLook w:val="04A0" w:firstRow="1" w:lastRow="0" w:firstColumn="1" w:lastColumn="0" w:noHBand="0" w:noVBand="1"/>
      </w:tblPr>
      <w:tblGrid>
        <w:gridCol w:w="1985"/>
        <w:gridCol w:w="1559"/>
        <w:gridCol w:w="1372"/>
        <w:gridCol w:w="1372"/>
        <w:gridCol w:w="1372"/>
        <w:gridCol w:w="1697"/>
      </w:tblGrid>
      <w:tr w:rsidR="007253B5" w:rsidRPr="00DB5749" w:rsidTr="007253B5">
        <w:trPr>
          <w:trHeight w:val="300"/>
        </w:trPr>
        <w:tc>
          <w:tcPr>
            <w:tcW w:w="1061"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rPr>
                <w:b/>
                <w:lang w:eastAsia="en-AU"/>
              </w:rPr>
            </w:pPr>
            <w:r w:rsidRPr="00DB5749">
              <w:rPr>
                <w:b/>
                <w:lang w:eastAsia="en-AU"/>
              </w:rPr>
              <w:t>Scenario</w:t>
            </w:r>
          </w:p>
        </w:tc>
        <w:tc>
          <w:tcPr>
            <w:tcW w:w="8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Murrumbidgee</w:t>
            </w:r>
          </w:p>
        </w:tc>
        <w:tc>
          <w:tcPr>
            <w:tcW w:w="7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Lower Darling</w:t>
            </w:r>
          </w:p>
        </w:tc>
        <w:tc>
          <w:tcPr>
            <w:tcW w:w="7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Barmah Above</w:t>
            </w:r>
          </w:p>
        </w:tc>
        <w:tc>
          <w:tcPr>
            <w:tcW w:w="733"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Barmah Below</w:t>
            </w:r>
          </w:p>
        </w:tc>
        <w:tc>
          <w:tcPr>
            <w:tcW w:w="907" w:type="pct"/>
            <w:tcBorders>
              <w:top w:val="single" w:sz="4" w:space="0" w:color="auto"/>
              <w:left w:val="nil"/>
              <w:bottom w:val="single" w:sz="4" w:space="0" w:color="auto"/>
              <w:right w:val="nil"/>
            </w:tcBorders>
            <w:shd w:val="clear" w:color="auto" w:fill="auto"/>
            <w:noWrap/>
            <w:vAlign w:val="bottom"/>
            <w:hideMark/>
          </w:tcPr>
          <w:p w:rsidR="007253B5" w:rsidRPr="00DB5749" w:rsidRDefault="007253B5" w:rsidP="007253B5">
            <w:pPr>
              <w:pStyle w:val="TableText"/>
              <w:jc w:val="right"/>
              <w:rPr>
                <w:b/>
                <w:lang w:eastAsia="en-AU"/>
              </w:rPr>
            </w:pPr>
            <w:r w:rsidRPr="00DB5749">
              <w:rPr>
                <w:b/>
                <w:lang w:eastAsia="en-AU"/>
              </w:rPr>
              <w:t>Northern Victoria</w:t>
            </w:r>
          </w:p>
        </w:tc>
      </w:tr>
      <w:tr w:rsidR="007253B5" w:rsidRPr="00DB5749" w:rsidTr="007253B5">
        <w:trPr>
          <w:trHeight w:val="300"/>
        </w:trPr>
        <w:tc>
          <w:tcPr>
            <w:tcW w:w="1061" w:type="pct"/>
            <w:tcBorders>
              <w:top w:val="single" w:sz="4" w:space="0" w:color="auto"/>
              <w:left w:val="nil"/>
              <w:bottom w:val="nil"/>
              <w:right w:val="nil"/>
            </w:tcBorders>
            <w:shd w:val="clear" w:color="auto" w:fill="auto"/>
            <w:noWrap/>
            <w:vAlign w:val="bottom"/>
            <w:hideMark/>
          </w:tcPr>
          <w:p w:rsidR="007253B5" w:rsidRPr="007D4D7E" w:rsidRDefault="007253B5" w:rsidP="007253B5">
            <w:pPr>
              <w:pStyle w:val="TableText"/>
              <w:rPr>
                <w:b/>
                <w:lang w:eastAsia="en-AU"/>
              </w:rPr>
            </w:pPr>
            <w:r>
              <w:rPr>
                <w:b/>
              </w:rPr>
              <w:t>Current market</w:t>
            </w:r>
          </w:p>
        </w:tc>
        <w:tc>
          <w:tcPr>
            <w:tcW w:w="8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lang w:eastAsia="en-AU"/>
              </w:rPr>
            </w:pPr>
          </w:p>
        </w:tc>
        <w:tc>
          <w:tcPr>
            <w:tcW w:w="7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c>
          <w:tcPr>
            <w:tcW w:w="733"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c>
          <w:tcPr>
            <w:tcW w:w="908" w:type="pct"/>
            <w:tcBorders>
              <w:top w:val="single" w:sz="4" w:space="0" w:color="auto"/>
              <w:left w:val="nil"/>
              <w:bottom w:val="nil"/>
              <w:right w:val="nil"/>
            </w:tcBorders>
            <w:shd w:val="clear" w:color="auto" w:fill="auto"/>
            <w:noWrap/>
            <w:vAlign w:val="bottom"/>
            <w:hideMark/>
          </w:tcPr>
          <w:p w:rsidR="007253B5" w:rsidRPr="00DB5749" w:rsidRDefault="007253B5" w:rsidP="007253B5">
            <w:pPr>
              <w:pStyle w:val="TableText"/>
              <w:jc w:val="right"/>
              <w:rPr>
                <w:rFonts w:ascii="Times New Roman" w:hAnsi="Times New Roman"/>
                <w:sz w:val="20"/>
                <w:szCs w:val="20"/>
                <w:lang w:eastAsia="en-AU"/>
              </w:rPr>
            </w:pP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Average</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-84.7</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46.5</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-31.5</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63.4</w:t>
            </w:r>
          </w:p>
        </w:tc>
        <w:tc>
          <w:tcPr>
            <w:tcW w:w="908"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6.3</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Minimum</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-200.0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0.0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-73.9</w:t>
            </w: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-126.4</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Maximum</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0.0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88.3</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1.8</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262.2</w:t>
            </w: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50.0</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7D4D7E" w:rsidRDefault="007253B5" w:rsidP="007253B5">
            <w:pPr>
              <w:pStyle w:val="TableText"/>
              <w:rPr>
                <w:b/>
                <w:lang w:eastAsia="en-AU"/>
              </w:rPr>
            </w:pPr>
            <w:r>
              <w:rPr>
                <w:b/>
              </w:rPr>
              <w:t>Future market</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Average</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-144.3</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50.5</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175.6</w:t>
            </w: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-44.8</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Minimum</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-200.0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9.7</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46.0</w:t>
            </w: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-187.0</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Maximum</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0.0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85.5</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381.3</w:t>
            </w: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50.0</w:t>
            </w: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7D4D7E" w:rsidRDefault="007253B5" w:rsidP="007253B5">
            <w:pPr>
              <w:pStyle w:val="TableText"/>
              <w:rPr>
                <w:b/>
                <w:lang w:eastAsia="en-AU"/>
              </w:rPr>
            </w:pPr>
            <w:r>
              <w:rPr>
                <w:b/>
              </w:rPr>
              <w:t>Future market (dry)</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p>
        </w:tc>
      </w:tr>
      <w:tr w:rsidR="007253B5" w:rsidRPr="00DB5749" w:rsidTr="007253B5">
        <w:trPr>
          <w:trHeight w:val="300"/>
        </w:trPr>
        <w:tc>
          <w:tcPr>
            <w:tcW w:w="1061" w:type="pct"/>
            <w:tcBorders>
              <w:top w:val="nil"/>
              <w:left w:val="nil"/>
              <w:bottom w:val="nil"/>
              <w:right w:val="nil"/>
            </w:tcBorders>
            <w:shd w:val="clear" w:color="auto" w:fill="auto"/>
            <w:noWrap/>
            <w:vAlign w:val="bottom"/>
            <w:hideMark/>
          </w:tcPr>
          <w:p w:rsidR="007253B5" w:rsidRPr="00DB5749" w:rsidRDefault="007253B5" w:rsidP="007253B5">
            <w:pPr>
              <w:pStyle w:val="TableText"/>
              <w:ind w:left="170"/>
              <w:rPr>
                <w:lang w:eastAsia="en-AU"/>
              </w:rPr>
            </w:pPr>
            <w:r>
              <w:t>Average</w:t>
            </w:r>
          </w:p>
        </w:tc>
        <w:tc>
          <w:tcPr>
            <w:tcW w:w="8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-156.7</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50.2</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197.0</w:t>
            </w:r>
          </w:p>
        </w:tc>
        <w:tc>
          <w:tcPr>
            <w:tcW w:w="907" w:type="pct"/>
            <w:tcBorders>
              <w:top w:val="nil"/>
              <w:left w:val="nil"/>
              <w:bottom w:val="nil"/>
              <w:right w:val="nil"/>
            </w:tcBorders>
            <w:shd w:val="clear" w:color="auto" w:fill="auto"/>
            <w:noWrap/>
            <w:hideMark/>
          </w:tcPr>
          <w:p w:rsidR="007253B5" w:rsidRPr="007D4AD4" w:rsidRDefault="007253B5" w:rsidP="007253B5">
            <w:pPr>
              <w:pStyle w:val="TableText"/>
              <w:jc w:val="right"/>
            </w:pPr>
            <w:r w:rsidRPr="00F70B59">
              <w:t>-53.6</w:t>
            </w:r>
          </w:p>
        </w:tc>
      </w:tr>
      <w:tr w:rsidR="007253B5" w:rsidRPr="00DB5749" w:rsidTr="007253B5">
        <w:trPr>
          <w:trHeight w:val="300"/>
        </w:trPr>
        <w:tc>
          <w:tcPr>
            <w:tcW w:w="1061" w:type="pct"/>
            <w:tcBorders>
              <w:top w:val="nil"/>
              <w:left w:val="nil"/>
              <w:right w:val="nil"/>
            </w:tcBorders>
            <w:shd w:val="clear" w:color="auto" w:fill="auto"/>
            <w:noWrap/>
            <w:vAlign w:val="bottom"/>
            <w:hideMark/>
          </w:tcPr>
          <w:p w:rsidR="007253B5" w:rsidRPr="00DB5749" w:rsidRDefault="007253B5" w:rsidP="007253B5">
            <w:pPr>
              <w:pStyle w:val="TableText"/>
              <w:ind w:left="170"/>
              <w:rPr>
                <w:lang w:eastAsia="en-AU"/>
              </w:rPr>
            </w:pPr>
            <w:r>
              <w:t>Minimum</w:t>
            </w:r>
          </w:p>
        </w:tc>
        <w:tc>
          <w:tcPr>
            <w:tcW w:w="833" w:type="pct"/>
            <w:tcBorders>
              <w:top w:val="nil"/>
              <w:left w:val="nil"/>
              <w:right w:val="nil"/>
            </w:tcBorders>
            <w:shd w:val="clear" w:color="auto" w:fill="auto"/>
            <w:noWrap/>
            <w:hideMark/>
          </w:tcPr>
          <w:p w:rsidR="007253B5" w:rsidRPr="007D4AD4" w:rsidRDefault="007253B5" w:rsidP="007253B5">
            <w:pPr>
              <w:pStyle w:val="TableText"/>
              <w:jc w:val="right"/>
            </w:pPr>
            <w:r w:rsidRPr="00F70B59">
              <w:t>-200.0</w:t>
            </w:r>
          </w:p>
        </w:tc>
        <w:tc>
          <w:tcPr>
            <w:tcW w:w="733" w:type="pct"/>
            <w:tcBorders>
              <w:top w:val="nil"/>
              <w:left w:val="nil"/>
              <w:right w:val="nil"/>
            </w:tcBorders>
            <w:shd w:val="clear" w:color="auto" w:fill="auto"/>
            <w:noWrap/>
            <w:hideMark/>
          </w:tcPr>
          <w:p w:rsidR="007253B5" w:rsidRPr="007D4AD4" w:rsidRDefault="007253B5" w:rsidP="007253B5">
            <w:pPr>
              <w:pStyle w:val="TableText"/>
              <w:jc w:val="right"/>
            </w:pPr>
            <w:r w:rsidRPr="00F70B59">
              <w:t>11.0</w:t>
            </w:r>
          </w:p>
        </w:tc>
        <w:tc>
          <w:tcPr>
            <w:tcW w:w="733" w:type="pct"/>
            <w:tcBorders>
              <w:top w:val="nil"/>
              <w:left w:val="nil"/>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right w:val="nil"/>
            </w:tcBorders>
            <w:shd w:val="clear" w:color="auto" w:fill="auto"/>
            <w:noWrap/>
            <w:hideMark/>
          </w:tcPr>
          <w:p w:rsidR="007253B5" w:rsidRPr="007D4AD4" w:rsidRDefault="007253B5" w:rsidP="007253B5">
            <w:pPr>
              <w:pStyle w:val="TableText"/>
              <w:jc w:val="right"/>
            </w:pPr>
            <w:r w:rsidRPr="00F70B59">
              <w:t>81.6</w:t>
            </w:r>
          </w:p>
        </w:tc>
        <w:tc>
          <w:tcPr>
            <w:tcW w:w="907" w:type="pct"/>
            <w:tcBorders>
              <w:top w:val="nil"/>
              <w:left w:val="nil"/>
              <w:right w:val="nil"/>
            </w:tcBorders>
            <w:shd w:val="clear" w:color="auto" w:fill="auto"/>
            <w:noWrap/>
            <w:hideMark/>
          </w:tcPr>
          <w:p w:rsidR="007253B5" w:rsidRPr="007D4AD4" w:rsidRDefault="007253B5" w:rsidP="007253B5">
            <w:pPr>
              <w:pStyle w:val="TableText"/>
              <w:jc w:val="right"/>
            </w:pPr>
            <w:r w:rsidRPr="00F70B59">
              <w:t>-197.6</w:t>
            </w:r>
          </w:p>
        </w:tc>
      </w:tr>
      <w:tr w:rsidR="007253B5" w:rsidRPr="00DB5749" w:rsidTr="007253B5">
        <w:trPr>
          <w:trHeight w:val="300"/>
        </w:trPr>
        <w:tc>
          <w:tcPr>
            <w:tcW w:w="1061" w:type="pct"/>
            <w:tcBorders>
              <w:top w:val="nil"/>
              <w:left w:val="nil"/>
              <w:bottom w:val="single" w:sz="4" w:space="0" w:color="auto"/>
              <w:right w:val="nil"/>
            </w:tcBorders>
            <w:shd w:val="clear" w:color="auto" w:fill="auto"/>
            <w:noWrap/>
            <w:vAlign w:val="bottom"/>
            <w:hideMark/>
          </w:tcPr>
          <w:p w:rsidR="007253B5" w:rsidRPr="00DB5749" w:rsidRDefault="007253B5" w:rsidP="007253B5">
            <w:pPr>
              <w:pStyle w:val="TableText"/>
              <w:ind w:left="170"/>
              <w:rPr>
                <w:lang w:eastAsia="en-AU"/>
              </w:rPr>
            </w:pPr>
            <w:r>
              <w:t>Maximum</w:t>
            </w:r>
          </w:p>
        </w:tc>
        <w:tc>
          <w:tcPr>
            <w:tcW w:w="833" w:type="pct"/>
            <w:tcBorders>
              <w:top w:val="nil"/>
              <w:left w:val="nil"/>
              <w:bottom w:val="single" w:sz="4" w:space="0" w:color="auto"/>
              <w:right w:val="nil"/>
            </w:tcBorders>
            <w:shd w:val="clear" w:color="auto" w:fill="auto"/>
            <w:noWrap/>
            <w:hideMark/>
          </w:tcPr>
          <w:p w:rsidR="007253B5" w:rsidRPr="007D4AD4" w:rsidRDefault="007253B5" w:rsidP="007253B5">
            <w:pPr>
              <w:pStyle w:val="TableText"/>
              <w:jc w:val="right"/>
            </w:pPr>
            <w:r w:rsidRPr="00F70B59">
              <w:t>-9.1</w:t>
            </w:r>
          </w:p>
        </w:tc>
        <w:tc>
          <w:tcPr>
            <w:tcW w:w="733" w:type="pct"/>
            <w:tcBorders>
              <w:top w:val="nil"/>
              <w:left w:val="nil"/>
              <w:bottom w:val="single" w:sz="4" w:space="0" w:color="auto"/>
              <w:right w:val="nil"/>
            </w:tcBorders>
            <w:shd w:val="clear" w:color="auto" w:fill="auto"/>
            <w:noWrap/>
            <w:hideMark/>
          </w:tcPr>
          <w:p w:rsidR="007253B5" w:rsidRPr="007D4AD4" w:rsidRDefault="007253B5" w:rsidP="007253B5">
            <w:pPr>
              <w:pStyle w:val="TableText"/>
              <w:jc w:val="right"/>
            </w:pPr>
            <w:r w:rsidRPr="00F70B59">
              <w:t>81.5</w:t>
            </w:r>
          </w:p>
        </w:tc>
        <w:tc>
          <w:tcPr>
            <w:tcW w:w="733" w:type="pct"/>
            <w:tcBorders>
              <w:top w:val="nil"/>
              <w:left w:val="nil"/>
              <w:bottom w:val="single" w:sz="4" w:space="0" w:color="auto"/>
              <w:right w:val="nil"/>
            </w:tcBorders>
            <w:shd w:val="clear" w:color="auto" w:fill="auto"/>
            <w:noWrap/>
            <w:hideMark/>
          </w:tcPr>
          <w:p w:rsidR="007253B5" w:rsidRPr="007D4AD4" w:rsidRDefault="007253B5" w:rsidP="007253B5">
            <w:pPr>
              <w:pStyle w:val="TableText"/>
              <w:jc w:val="right"/>
            </w:pPr>
            <w:r w:rsidRPr="00F70B59">
              <w:t>-37.0</w:t>
            </w:r>
          </w:p>
        </w:tc>
        <w:tc>
          <w:tcPr>
            <w:tcW w:w="733" w:type="pct"/>
            <w:tcBorders>
              <w:top w:val="nil"/>
              <w:left w:val="nil"/>
              <w:bottom w:val="single" w:sz="4" w:space="0" w:color="auto"/>
              <w:right w:val="nil"/>
            </w:tcBorders>
            <w:shd w:val="clear" w:color="auto" w:fill="auto"/>
            <w:noWrap/>
            <w:hideMark/>
          </w:tcPr>
          <w:p w:rsidR="007253B5" w:rsidRPr="007D4AD4" w:rsidRDefault="007253B5" w:rsidP="007253B5">
            <w:pPr>
              <w:pStyle w:val="TableText"/>
              <w:jc w:val="right"/>
            </w:pPr>
            <w:r w:rsidRPr="00F70B59">
              <w:t>395.3</w:t>
            </w:r>
          </w:p>
        </w:tc>
        <w:tc>
          <w:tcPr>
            <w:tcW w:w="907" w:type="pct"/>
            <w:tcBorders>
              <w:top w:val="nil"/>
              <w:left w:val="nil"/>
              <w:bottom w:val="single" w:sz="4" w:space="0" w:color="auto"/>
              <w:right w:val="nil"/>
            </w:tcBorders>
            <w:shd w:val="clear" w:color="auto" w:fill="auto"/>
            <w:noWrap/>
            <w:hideMark/>
          </w:tcPr>
          <w:p w:rsidR="007253B5" w:rsidRPr="007D4AD4" w:rsidRDefault="007253B5" w:rsidP="007253B5">
            <w:pPr>
              <w:pStyle w:val="TableText"/>
              <w:jc w:val="right"/>
            </w:pPr>
            <w:r w:rsidRPr="00F70B59">
              <w:t>50.0</w:t>
            </w:r>
          </w:p>
        </w:tc>
      </w:tr>
    </w:tbl>
    <w:p w:rsidR="007253B5" w:rsidRDefault="007253B5" w:rsidP="007253B5">
      <w:pPr>
        <w:pStyle w:val="Caption"/>
      </w:pPr>
      <w:bookmarkStart w:id="118" w:name="_Toc25747087"/>
      <w:bookmarkStart w:id="119" w:name="_Toc33629232"/>
      <w:bookmarkStart w:id="120" w:name="_Toc33629265"/>
      <w:bookmarkStart w:id="121" w:name="_Toc33712875"/>
      <w:bookmarkStart w:id="122" w:name="_Toc34318709"/>
      <w:bookmarkStart w:id="123" w:name="_Toc34735539"/>
      <w:bookmarkStart w:id="124" w:name="_Toc34735561"/>
      <w:r>
        <w:lastRenderedPageBreak/>
        <w:t xml:space="preserve">Table </w:t>
      </w:r>
      <w:r w:rsidR="006F7B0E">
        <w:t>B</w:t>
      </w:r>
      <w:r w:rsidR="006F7B0E">
        <w:rPr>
          <w:noProof/>
        </w:rPr>
        <w:fldChar w:fldCharType="begin"/>
      </w:r>
      <w:r w:rsidR="006F7B0E">
        <w:rPr>
          <w:noProof/>
        </w:rPr>
        <w:instrText xml:space="preserve"> SEQ Table_B \* ARABIC </w:instrText>
      </w:r>
      <w:r w:rsidR="006F7B0E">
        <w:rPr>
          <w:noProof/>
        </w:rPr>
        <w:fldChar w:fldCharType="separate"/>
      </w:r>
      <w:r w:rsidR="004D407F">
        <w:rPr>
          <w:noProof/>
        </w:rPr>
        <w:t>3</w:t>
      </w:r>
      <w:r w:rsidR="006F7B0E">
        <w:rPr>
          <w:noProof/>
        </w:rPr>
        <w:fldChar w:fldCharType="end"/>
      </w:r>
      <w:r>
        <w:t xml:space="preserve"> Number of years (out of 14 years) trade limits were binding in each trading zone</w:t>
      </w:r>
      <w:bookmarkEnd w:id="118"/>
      <w:bookmarkEnd w:id="119"/>
      <w:bookmarkEnd w:id="120"/>
      <w:bookmarkEnd w:id="121"/>
      <w:bookmarkEnd w:id="122"/>
      <w:bookmarkEnd w:id="123"/>
      <w:bookmarkEnd w:id="124"/>
    </w:p>
    <w:tbl>
      <w:tblPr>
        <w:tblW w:w="5000" w:type="pct"/>
        <w:tblLook w:val="04A0" w:firstRow="1" w:lastRow="0" w:firstColumn="1" w:lastColumn="0" w:noHBand="0" w:noVBand="1"/>
      </w:tblPr>
      <w:tblGrid>
        <w:gridCol w:w="2410"/>
        <w:gridCol w:w="2124"/>
        <w:gridCol w:w="2268"/>
        <w:gridCol w:w="2268"/>
      </w:tblGrid>
      <w:tr w:rsidR="007253B5" w:rsidRPr="000D39AF" w:rsidTr="007253B5">
        <w:trPr>
          <w:trHeight w:val="300"/>
        </w:trPr>
        <w:tc>
          <w:tcPr>
            <w:tcW w:w="1329"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rPr>
                <w:b/>
              </w:rPr>
            </w:pPr>
            <w:r>
              <w:rPr>
                <w:b/>
              </w:rPr>
              <w:t>Region</w:t>
            </w:r>
          </w:p>
        </w:tc>
        <w:tc>
          <w:tcPr>
            <w:tcW w:w="1171"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jc w:val="right"/>
              <w:rPr>
                <w:b/>
              </w:rPr>
            </w:pPr>
            <w:r>
              <w:rPr>
                <w:b/>
              </w:rPr>
              <w:t>Current market</w:t>
            </w:r>
          </w:p>
        </w:tc>
        <w:tc>
          <w:tcPr>
            <w:tcW w:w="1250"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jc w:val="right"/>
              <w:rPr>
                <w:b/>
              </w:rPr>
            </w:pPr>
            <w:r>
              <w:rPr>
                <w:b/>
              </w:rPr>
              <w:t>Future market</w:t>
            </w:r>
          </w:p>
        </w:tc>
        <w:tc>
          <w:tcPr>
            <w:tcW w:w="1250"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jc w:val="right"/>
              <w:rPr>
                <w:b/>
              </w:rPr>
            </w:pPr>
            <w:r>
              <w:rPr>
                <w:b/>
              </w:rPr>
              <w:t>Future market (dry)</w:t>
            </w:r>
          </w:p>
        </w:tc>
      </w:tr>
      <w:tr w:rsidR="007253B5" w:rsidRPr="000D39AF" w:rsidTr="007253B5">
        <w:trPr>
          <w:trHeight w:val="300"/>
        </w:trPr>
        <w:tc>
          <w:tcPr>
            <w:tcW w:w="1329" w:type="pct"/>
            <w:tcBorders>
              <w:top w:val="single" w:sz="4" w:space="0" w:color="auto"/>
              <w:left w:val="nil"/>
              <w:bottom w:val="nil"/>
              <w:right w:val="nil"/>
            </w:tcBorders>
            <w:shd w:val="clear" w:color="auto" w:fill="auto"/>
            <w:noWrap/>
            <w:vAlign w:val="bottom"/>
            <w:hideMark/>
          </w:tcPr>
          <w:p w:rsidR="007253B5" w:rsidRPr="000D39AF" w:rsidRDefault="007253B5" w:rsidP="007253B5">
            <w:pPr>
              <w:pStyle w:val="TableText"/>
            </w:pPr>
            <w:r w:rsidRPr="000D39AF">
              <w:t>Murrumbidgee</w:t>
            </w:r>
          </w:p>
        </w:tc>
        <w:tc>
          <w:tcPr>
            <w:tcW w:w="1171" w:type="pct"/>
            <w:tcBorders>
              <w:top w:val="single" w:sz="4" w:space="0" w:color="auto"/>
              <w:left w:val="nil"/>
              <w:bottom w:val="nil"/>
              <w:right w:val="nil"/>
            </w:tcBorders>
            <w:shd w:val="clear" w:color="auto" w:fill="auto"/>
            <w:noWrap/>
            <w:vAlign w:val="bottom"/>
            <w:hideMark/>
          </w:tcPr>
          <w:p w:rsidR="007253B5" w:rsidRPr="000D39AF" w:rsidRDefault="007253B5" w:rsidP="007253B5">
            <w:pPr>
              <w:pStyle w:val="TableText"/>
              <w:jc w:val="right"/>
            </w:pPr>
          </w:p>
        </w:tc>
        <w:tc>
          <w:tcPr>
            <w:tcW w:w="1250" w:type="pct"/>
            <w:tcBorders>
              <w:top w:val="single" w:sz="4" w:space="0" w:color="auto"/>
              <w:left w:val="nil"/>
              <w:bottom w:val="nil"/>
              <w:right w:val="nil"/>
            </w:tcBorders>
            <w:shd w:val="clear" w:color="auto" w:fill="auto"/>
            <w:noWrap/>
            <w:vAlign w:val="bottom"/>
            <w:hideMark/>
          </w:tcPr>
          <w:p w:rsidR="007253B5" w:rsidRPr="000D39AF" w:rsidRDefault="007253B5" w:rsidP="007253B5">
            <w:pPr>
              <w:pStyle w:val="TableText"/>
              <w:jc w:val="right"/>
            </w:pPr>
          </w:p>
        </w:tc>
        <w:tc>
          <w:tcPr>
            <w:tcW w:w="1250" w:type="pct"/>
            <w:tcBorders>
              <w:top w:val="single" w:sz="4" w:space="0" w:color="auto"/>
              <w:left w:val="nil"/>
              <w:bottom w:val="nil"/>
              <w:right w:val="nil"/>
            </w:tcBorders>
            <w:shd w:val="clear" w:color="auto" w:fill="auto"/>
            <w:noWrap/>
            <w:vAlign w:val="bottom"/>
            <w:hideMark/>
          </w:tcPr>
          <w:p w:rsidR="007253B5" w:rsidRPr="000D39AF" w:rsidRDefault="007253B5" w:rsidP="007253B5">
            <w:pPr>
              <w:pStyle w:val="TableText"/>
              <w:jc w:val="right"/>
            </w:pPr>
          </w:p>
        </w:tc>
      </w:tr>
      <w:tr w:rsidR="007253B5" w:rsidRPr="000D39AF" w:rsidTr="007253B5">
        <w:trPr>
          <w:trHeight w:val="300"/>
        </w:trPr>
        <w:tc>
          <w:tcPr>
            <w:tcW w:w="1329" w:type="pct"/>
            <w:tcBorders>
              <w:top w:val="nil"/>
              <w:left w:val="nil"/>
              <w:bottom w:val="nil"/>
              <w:right w:val="nil"/>
            </w:tcBorders>
            <w:shd w:val="clear" w:color="auto" w:fill="auto"/>
            <w:noWrap/>
            <w:vAlign w:val="bottom"/>
            <w:hideMark/>
          </w:tcPr>
          <w:p w:rsidR="007253B5" w:rsidRPr="000D39AF" w:rsidRDefault="007253B5" w:rsidP="007253B5">
            <w:pPr>
              <w:pStyle w:val="TableText"/>
              <w:ind w:left="170"/>
            </w:pPr>
            <w:r w:rsidRPr="000D39AF">
              <w:t>Export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2</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t>8</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t>8</w:t>
            </w:r>
          </w:p>
        </w:tc>
      </w:tr>
      <w:tr w:rsidR="007253B5" w:rsidRPr="000D39AF" w:rsidTr="007253B5">
        <w:trPr>
          <w:trHeight w:val="300"/>
        </w:trPr>
        <w:tc>
          <w:tcPr>
            <w:tcW w:w="1329" w:type="pct"/>
            <w:tcBorders>
              <w:top w:val="nil"/>
              <w:left w:val="nil"/>
              <w:bottom w:val="nil"/>
              <w:right w:val="nil"/>
            </w:tcBorders>
            <w:shd w:val="clear" w:color="auto" w:fill="auto"/>
            <w:noWrap/>
            <w:vAlign w:val="bottom"/>
            <w:hideMark/>
          </w:tcPr>
          <w:p w:rsidR="007253B5" w:rsidRPr="000D39AF" w:rsidRDefault="007253B5" w:rsidP="007253B5">
            <w:pPr>
              <w:pStyle w:val="TableText"/>
              <w:ind w:left="170"/>
            </w:pPr>
            <w:r w:rsidRPr="000D39AF">
              <w:t>Import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t>5</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2</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t>0</w:t>
            </w:r>
          </w:p>
        </w:tc>
      </w:tr>
      <w:tr w:rsidR="007253B5" w:rsidRPr="000D39AF" w:rsidTr="007253B5">
        <w:trPr>
          <w:trHeight w:val="300"/>
        </w:trPr>
        <w:tc>
          <w:tcPr>
            <w:tcW w:w="1329" w:type="pct"/>
            <w:tcBorders>
              <w:top w:val="nil"/>
              <w:left w:val="nil"/>
              <w:bottom w:val="nil"/>
              <w:right w:val="nil"/>
            </w:tcBorders>
            <w:shd w:val="clear" w:color="auto" w:fill="auto"/>
            <w:noWrap/>
            <w:vAlign w:val="bottom"/>
            <w:hideMark/>
          </w:tcPr>
          <w:p w:rsidR="007253B5" w:rsidRPr="000D39AF" w:rsidRDefault="007253B5" w:rsidP="007253B5">
            <w:pPr>
              <w:pStyle w:val="TableText"/>
            </w:pPr>
            <w:r w:rsidRPr="000D39AF">
              <w:t>Lower Darling</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r>
      <w:tr w:rsidR="007253B5" w:rsidRPr="000D39AF" w:rsidTr="007253B5">
        <w:trPr>
          <w:trHeight w:val="300"/>
        </w:trPr>
        <w:tc>
          <w:tcPr>
            <w:tcW w:w="1329" w:type="pct"/>
            <w:tcBorders>
              <w:top w:val="nil"/>
              <w:left w:val="nil"/>
              <w:bottom w:val="nil"/>
              <w:right w:val="nil"/>
            </w:tcBorders>
            <w:shd w:val="clear" w:color="auto" w:fill="auto"/>
            <w:noWrap/>
            <w:vAlign w:val="bottom"/>
            <w:hideMark/>
          </w:tcPr>
          <w:p w:rsidR="007253B5" w:rsidRPr="000D39AF" w:rsidRDefault="007253B5" w:rsidP="007253B5">
            <w:pPr>
              <w:pStyle w:val="TableText"/>
              <w:ind w:left="170"/>
            </w:pPr>
            <w:r w:rsidRPr="000D39AF">
              <w:t>Export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1</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r>
      <w:tr w:rsidR="007253B5" w:rsidRPr="000D39AF" w:rsidTr="007253B5">
        <w:trPr>
          <w:trHeight w:val="300"/>
        </w:trPr>
        <w:tc>
          <w:tcPr>
            <w:tcW w:w="1329" w:type="pct"/>
            <w:tcBorders>
              <w:top w:val="nil"/>
              <w:left w:val="nil"/>
              <w:bottom w:val="nil"/>
              <w:right w:val="nil"/>
            </w:tcBorders>
            <w:shd w:val="clear" w:color="auto" w:fill="auto"/>
            <w:noWrap/>
            <w:vAlign w:val="bottom"/>
            <w:hideMark/>
          </w:tcPr>
          <w:p w:rsidR="007253B5" w:rsidRPr="000D39AF" w:rsidRDefault="007253B5" w:rsidP="007253B5">
            <w:pPr>
              <w:pStyle w:val="TableText"/>
              <w:ind w:left="170"/>
            </w:pPr>
            <w:r w:rsidRPr="000D39AF">
              <w:t>Import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pPr>
            <w:r w:rsidRPr="000D39AF">
              <w:t>Barmah Above</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ind w:left="170"/>
            </w:pPr>
            <w:r w:rsidRPr="000D39AF">
              <w:t>Export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12</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14</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14</w:t>
            </w: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ind w:left="170"/>
            </w:pPr>
            <w:r w:rsidRPr="000D39AF">
              <w:t>Import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pPr>
            <w:r w:rsidRPr="000D39AF">
              <w:t>Barmah Below</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ind w:left="170"/>
            </w:pPr>
            <w:r w:rsidRPr="000D39AF">
              <w:t>Export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ind w:left="170"/>
            </w:pPr>
            <w:r w:rsidRPr="000D39AF">
              <w:t>Import</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r w:rsidRPr="000D39AF">
              <w:t>0</w:t>
            </w:r>
          </w:p>
        </w:tc>
      </w:tr>
      <w:tr w:rsidR="007253B5" w:rsidRPr="000D39AF" w:rsidTr="007253B5">
        <w:trPr>
          <w:trHeight w:val="300"/>
        </w:trPr>
        <w:tc>
          <w:tcPr>
            <w:tcW w:w="1329" w:type="pct"/>
            <w:tcBorders>
              <w:top w:val="nil"/>
              <w:left w:val="nil"/>
              <w:bottom w:val="nil"/>
              <w:right w:val="nil"/>
            </w:tcBorders>
            <w:shd w:val="clear" w:color="auto" w:fill="auto"/>
            <w:noWrap/>
            <w:vAlign w:val="bottom"/>
          </w:tcPr>
          <w:p w:rsidR="007253B5" w:rsidRPr="000D39AF" w:rsidRDefault="007253B5" w:rsidP="007253B5">
            <w:pPr>
              <w:pStyle w:val="TableText"/>
            </w:pPr>
            <w:r w:rsidRPr="000D39AF">
              <w:t>Northern Victoria</w:t>
            </w:r>
          </w:p>
        </w:tc>
        <w:tc>
          <w:tcPr>
            <w:tcW w:w="1171"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c>
          <w:tcPr>
            <w:tcW w:w="1250" w:type="pct"/>
            <w:tcBorders>
              <w:top w:val="nil"/>
              <w:left w:val="nil"/>
              <w:bottom w:val="nil"/>
              <w:right w:val="nil"/>
            </w:tcBorders>
            <w:shd w:val="clear" w:color="auto" w:fill="auto"/>
            <w:noWrap/>
            <w:vAlign w:val="bottom"/>
          </w:tcPr>
          <w:p w:rsidR="007253B5" w:rsidRPr="000D39AF" w:rsidRDefault="007253B5" w:rsidP="007253B5">
            <w:pPr>
              <w:pStyle w:val="TableText"/>
              <w:jc w:val="right"/>
            </w:pPr>
          </w:p>
        </w:tc>
      </w:tr>
      <w:tr w:rsidR="007253B5" w:rsidRPr="000D39AF" w:rsidTr="007253B5">
        <w:trPr>
          <w:trHeight w:val="300"/>
        </w:trPr>
        <w:tc>
          <w:tcPr>
            <w:tcW w:w="1329" w:type="pct"/>
            <w:tcBorders>
              <w:top w:val="nil"/>
              <w:left w:val="nil"/>
              <w:right w:val="nil"/>
            </w:tcBorders>
            <w:shd w:val="clear" w:color="auto" w:fill="auto"/>
            <w:noWrap/>
            <w:vAlign w:val="bottom"/>
            <w:hideMark/>
          </w:tcPr>
          <w:p w:rsidR="007253B5" w:rsidRPr="000D39AF" w:rsidRDefault="007253B5" w:rsidP="007253B5">
            <w:pPr>
              <w:pStyle w:val="TableText"/>
              <w:ind w:left="170"/>
            </w:pPr>
            <w:r w:rsidRPr="000D39AF">
              <w:t>Export</w:t>
            </w:r>
          </w:p>
        </w:tc>
        <w:tc>
          <w:tcPr>
            <w:tcW w:w="1171" w:type="pct"/>
            <w:tcBorders>
              <w:top w:val="nil"/>
              <w:left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right w:val="nil"/>
            </w:tcBorders>
            <w:shd w:val="clear" w:color="auto" w:fill="auto"/>
            <w:noWrap/>
            <w:vAlign w:val="bottom"/>
          </w:tcPr>
          <w:p w:rsidR="007253B5" w:rsidRPr="000D39AF" w:rsidRDefault="007253B5" w:rsidP="007253B5">
            <w:pPr>
              <w:pStyle w:val="TableText"/>
              <w:jc w:val="right"/>
            </w:pPr>
            <w:r w:rsidRPr="000D39AF">
              <w:t>0</w:t>
            </w:r>
          </w:p>
        </w:tc>
        <w:tc>
          <w:tcPr>
            <w:tcW w:w="1250" w:type="pct"/>
            <w:tcBorders>
              <w:top w:val="nil"/>
              <w:left w:val="nil"/>
              <w:right w:val="nil"/>
            </w:tcBorders>
            <w:shd w:val="clear" w:color="auto" w:fill="auto"/>
            <w:noWrap/>
            <w:vAlign w:val="bottom"/>
          </w:tcPr>
          <w:p w:rsidR="007253B5" w:rsidRPr="000D39AF" w:rsidRDefault="007253B5" w:rsidP="007253B5">
            <w:pPr>
              <w:pStyle w:val="TableText"/>
              <w:jc w:val="right"/>
            </w:pPr>
            <w:r w:rsidRPr="000D39AF">
              <w:t>0</w:t>
            </w:r>
          </w:p>
        </w:tc>
      </w:tr>
      <w:tr w:rsidR="007253B5" w:rsidRPr="000D39AF" w:rsidTr="007253B5">
        <w:trPr>
          <w:trHeight w:val="300"/>
        </w:trPr>
        <w:tc>
          <w:tcPr>
            <w:tcW w:w="1329" w:type="pct"/>
            <w:tcBorders>
              <w:top w:val="nil"/>
              <w:left w:val="nil"/>
              <w:bottom w:val="single" w:sz="4" w:space="0" w:color="auto"/>
              <w:right w:val="nil"/>
            </w:tcBorders>
            <w:shd w:val="clear" w:color="auto" w:fill="auto"/>
            <w:noWrap/>
            <w:vAlign w:val="bottom"/>
            <w:hideMark/>
          </w:tcPr>
          <w:p w:rsidR="007253B5" w:rsidRPr="000D39AF" w:rsidRDefault="007253B5" w:rsidP="007253B5">
            <w:pPr>
              <w:pStyle w:val="TableText"/>
              <w:ind w:left="170"/>
            </w:pPr>
            <w:r w:rsidRPr="000D39AF">
              <w:t>Import</w:t>
            </w:r>
          </w:p>
        </w:tc>
        <w:tc>
          <w:tcPr>
            <w:tcW w:w="1171" w:type="pct"/>
            <w:tcBorders>
              <w:top w:val="nil"/>
              <w:left w:val="nil"/>
              <w:bottom w:val="single" w:sz="4" w:space="0" w:color="auto"/>
              <w:right w:val="nil"/>
            </w:tcBorders>
            <w:shd w:val="clear" w:color="auto" w:fill="auto"/>
            <w:noWrap/>
            <w:vAlign w:val="bottom"/>
          </w:tcPr>
          <w:p w:rsidR="007253B5" w:rsidRPr="000D39AF" w:rsidRDefault="007253B5" w:rsidP="007253B5">
            <w:pPr>
              <w:pStyle w:val="TableText"/>
              <w:jc w:val="right"/>
            </w:pPr>
            <w:r>
              <w:t>6</w:t>
            </w:r>
          </w:p>
        </w:tc>
        <w:tc>
          <w:tcPr>
            <w:tcW w:w="1250" w:type="pct"/>
            <w:tcBorders>
              <w:top w:val="nil"/>
              <w:left w:val="nil"/>
              <w:bottom w:val="single" w:sz="4" w:space="0" w:color="auto"/>
              <w:right w:val="nil"/>
            </w:tcBorders>
            <w:shd w:val="clear" w:color="auto" w:fill="auto"/>
            <w:noWrap/>
            <w:vAlign w:val="bottom"/>
          </w:tcPr>
          <w:p w:rsidR="007253B5" w:rsidRPr="000D39AF" w:rsidRDefault="007253B5" w:rsidP="007253B5">
            <w:pPr>
              <w:pStyle w:val="TableText"/>
              <w:jc w:val="right"/>
            </w:pPr>
            <w:r w:rsidRPr="000D39AF">
              <w:t>4</w:t>
            </w:r>
          </w:p>
        </w:tc>
        <w:tc>
          <w:tcPr>
            <w:tcW w:w="1250" w:type="pct"/>
            <w:tcBorders>
              <w:top w:val="nil"/>
              <w:left w:val="nil"/>
              <w:bottom w:val="single" w:sz="4" w:space="0" w:color="auto"/>
              <w:right w:val="nil"/>
            </w:tcBorders>
            <w:shd w:val="clear" w:color="auto" w:fill="auto"/>
            <w:noWrap/>
            <w:vAlign w:val="bottom"/>
          </w:tcPr>
          <w:p w:rsidR="007253B5" w:rsidRPr="000D39AF" w:rsidRDefault="007253B5" w:rsidP="007253B5">
            <w:pPr>
              <w:pStyle w:val="TableText"/>
              <w:jc w:val="right"/>
            </w:pPr>
            <w:r>
              <w:t>4</w:t>
            </w:r>
          </w:p>
        </w:tc>
      </w:tr>
    </w:tbl>
    <w:p w:rsidR="00D47493" w:rsidRPr="00D47493" w:rsidRDefault="00D47493" w:rsidP="00D47493"/>
    <w:p w:rsidR="007253B5" w:rsidRDefault="007253B5" w:rsidP="007253B5">
      <w:pPr>
        <w:pStyle w:val="Caption"/>
      </w:pPr>
      <w:bookmarkStart w:id="125" w:name="_Toc25747088"/>
      <w:bookmarkStart w:id="126" w:name="_Toc33629233"/>
      <w:bookmarkStart w:id="127" w:name="_Toc33629266"/>
      <w:bookmarkStart w:id="128" w:name="_Toc33712876"/>
      <w:bookmarkStart w:id="129" w:name="_Toc34318710"/>
      <w:bookmarkStart w:id="130" w:name="_Toc34735540"/>
      <w:bookmarkStart w:id="131" w:name="_Toc34735562"/>
      <w:r>
        <w:t xml:space="preserve">Table </w:t>
      </w:r>
      <w:r w:rsidR="006F7B0E">
        <w:t>B</w:t>
      </w:r>
      <w:r w:rsidR="006F7B0E">
        <w:rPr>
          <w:noProof/>
        </w:rPr>
        <w:fldChar w:fldCharType="begin"/>
      </w:r>
      <w:r w:rsidR="006F7B0E">
        <w:rPr>
          <w:noProof/>
        </w:rPr>
        <w:instrText xml:space="preserve"> SEQ Table_B \* ARABIC </w:instrText>
      </w:r>
      <w:r w:rsidR="006F7B0E">
        <w:rPr>
          <w:noProof/>
        </w:rPr>
        <w:fldChar w:fldCharType="separate"/>
      </w:r>
      <w:r w:rsidR="004D407F">
        <w:rPr>
          <w:noProof/>
        </w:rPr>
        <w:t>4</w:t>
      </w:r>
      <w:r w:rsidR="006F7B0E">
        <w:rPr>
          <w:noProof/>
        </w:rPr>
        <w:fldChar w:fldCharType="end"/>
      </w:r>
      <w:r>
        <w:t xml:space="preserve"> Irrigation water use by catchment</w:t>
      </w:r>
      <w:bookmarkEnd w:id="125"/>
      <w:bookmarkEnd w:id="126"/>
      <w:bookmarkEnd w:id="127"/>
      <w:bookmarkEnd w:id="128"/>
      <w:bookmarkEnd w:id="129"/>
      <w:bookmarkEnd w:id="130"/>
      <w:bookmarkEnd w:id="131"/>
    </w:p>
    <w:tbl>
      <w:tblPr>
        <w:tblW w:w="5000" w:type="pct"/>
        <w:tblLook w:val="04A0" w:firstRow="1" w:lastRow="0" w:firstColumn="1" w:lastColumn="0" w:noHBand="0" w:noVBand="1"/>
      </w:tblPr>
      <w:tblGrid>
        <w:gridCol w:w="2135"/>
        <w:gridCol w:w="3216"/>
        <w:gridCol w:w="1824"/>
        <w:gridCol w:w="1895"/>
      </w:tblGrid>
      <w:tr w:rsidR="007253B5" w:rsidRPr="000D39AF" w:rsidTr="007253B5">
        <w:trPr>
          <w:trHeight w:val="300"/>
        </w:trPr>
        <w:tc>
          <w:tcPr>
            <w:tcW w:w="1177"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rPr>
                <w:b/>
              </w:rPr>
            </w:pPr>
            <w:r>
              <w:rPr>
                <w:b/>
              </w:rPr>
              <w:t>Region</w:t>
            </w:r>
          </w:p>
        </w:tc>
        <w:tc>
          <w:tcPr>
            <w:tcW w:w="1773"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jc w:val="right"/>
              <w:rPr>
                <w:b/>
              </w:rPr>
            </w:pPr>
            <w:r>
              <w:rPr>
                <w:b/>
              </w:rPr>
              <w:t>Current market</w:t>
            </w:r>
            <w:r>
              <w:rPr>
                <w:b/>
              </w:rPr>
              <w:br/>
              <w:t>average annual (GL)</w:t>
            </w:r>
          </w:p>
        </w:tc>
        <w:tc>
          <w:tcPr>
            <w:tcW w:w="1006"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jc w:val="right"/>
              <w:rPr>
                <w:b/>
              </w:rPr>
            </w:pPr>
            <w:r>
              <w:rPr>
                <w:b/>
              </w:rPr>
              <w:t>Future market</w:t>
            </w:r>
            <w:r>
              <w:rPr>
                <w:b/>
              </w:rPr>
              <w:br/>
              <w:t>% change</w:t>
            </w:r>
          </w:p>
        </w:tc>
        <w:tc>
          <w:tcPr>
            <w:tcW w:w="1045" w:type="pct"/>
            <w:tcBorders>
              <w:top w:val="single" w:sz="4" w:space="0" w:color="auto"/>
              <w:left w:val="nil"/>
              <w:bottom w:val="single" w:sz="4" w:space="0" w:color="auto"/>
              <w:right w:val="nil"/>
            </w:tcBorders>
            <w:shd w:val="clear" w:color="auto" w:fill="auto"/>
            <w:noWrap/>
            <w:vAlign w:val="bottom"/>
            <w:hideMark/>
          </w:tcPr>
          <w:p w:rsidR="007253B5" w:rsidRPr="000D39AF" w:rsidRDefault="007253B5" w:rsidP="007253B5">
            <w:pPr>
              <w:pStyle w:val="TableText"/>
              <w:jc w:val="right"/>
              <w:rPr>
                <w:b/>
              </w:rPr>
            </w:pPr>
            <w:r>
              <w:rPr>
                <w:b/>
              </w:rPr>
              <w:t>Future market (dry)</w:t>
            </w:r>
            <w:r>
              <w:rPr>
                <w:b/>
              </w:rPr>
              <w:br/>
              <w:t>% change</w:t>
            </w:r>
          </w:p>
        </w:tc>
      </w:tr>
      <w:tr w:rsidR="007253B5" w:rsidRPr="000D39AF" w:rsidTr="007253B5">
        <w:trPr>
          <w:trHeight w:val="300"/>
        </w:trPr>
        <w:tc>
          <w:tcPr>
            <w:tcW w:w="1187" w:type="pct"/>
            <w:tcBorders>
              <w:top w:val="single" w:sz="4" w:space="0" w:color="auto"/>
              <w:left w:val="nil"/>
              <w:bottom w:val="nil"/>
              <w:right w:val="nil"/>
            </w:tcBorders>
            <w:shd w:val="clear" w:color="auto" w:fill="auto"/>
            <w:noWrap/>
            <w:vAlign w:val="bottom"/>
            <w:hideMark/>
          </w:tcPr>
          <w:p w:rsidR="007253B5" w:rsidRPr="000D39AF" w:rsidRDefault="007253B5" w:rsidP="007253B5">
            <w:pPr>
              <w:pStyle w:val="TableText"/>
            </w:pPr>
            <w:r>
              <w:t>NSW Lower Darling</w:t>
            </w:r>
          </w:p>
        </w:tc>
        <w:tc>
          <w:tcPr>
            <w:tcW w:w="1783" w:type="pct"/>
            <w:tcBorders>
              <w:top w:val="single" w:sz="4" w:space="0" w:color="auto"/>
              <w:left w:val="nil"/>
              <w:bottom w:val="nil"/>
              <w:right w:val="nil"/>
            </w:tcBorders>
            <w:shd w:val="clear" w:color="auto" w:fill="auto"/>
            <w:noWrap/>
            <w:hideMark/>
          </w:tcPr>
          <w:p w:rsidR="007253B5" w:rsidRPr="003C18F9" w:rsidRDefault="007253B5" w:rsidP="007253B5">
            <w:pPr>
              <w:pStyle w:val="TableText"/>
              <w:jc w:val="right"/>
            </w:pPr>
            <w:r w:rsidRPr="000A3BF9">
              <w:t>93.6</w:t>
            </w:r>
          </w:p>
        </w:tc>
        <w:tc>
          <w:tcPr>
            <w:tcW w:w="1015" w:type="pct"/>
            <w:tcBorders>
              <w:top w:val="single" w:sz="4" w:space="0" w:color="auto"/>
              <w:left w:val="nil"/>
              <w:bottom w:val="nil"/>
              <w:right w:val="nil"/>
            </w:tcBorders>
            <w:shd w:val="clear" w:color="auto" w:fill="auto"/>
            <w:noWrap/>
            <w:hideMark/>
          </w:tcPr>
          <w:p w:rsidR="007253B5" w:rsidRPr="003C18F9" w:rsidRDefault="007253B5" w:rsidP="007253B5">
            <w:pPr>
              <w:pStyle w:val="TableText"/>
              <w:jc w:val="right"/>
            </w:pPr>
            <w:r w:rsidRPr="000A3BF9">
              <w:t>-2.3%</w:t>
            </w:r>
          </w:p>
        </w:tc>
        <w:tc>
          <w:tcPr>
            <w:tcW w:w="1015" w:type="pct"/>
            <w:tcBorders>
              <w:top w:val="single" w:sz="4" w:space="0" w:color="auto"/>
              <w:left w:val="nil"/>
              <w:bottom w:val="nil"/>
              <w:right w:val="nil"/>
            </w:tcBorders>
            <w:shd w:val="clear" w:color="auto" w:fill="auto"/>
            <w:noWrap/>
            <w:hideMark/>
          </w:tcPr>
          <w:p w:rsidR="007253B5" w:rsidRPr="003C18F9" w:rsidRDefault="007253B5" w:rsidP="007253B5">
            <w:pPr>
              <w:pStyle w:val="TableText"/>
              <w:jc w:val="right"/>
            </w:pPr>
            <w:r w:rsidRPr="000A3BF9">
              <w:t>-6.2%</w:t>
            </w:r>
          </w:p>
        </w:tc>
      </w:tr>
      <w:tr w:rsidR="007253B5" w:rsidRPr="000D39AF" w:rsidTr="007253B5">
        <w:trPr>
          <w:trHeight w:val="300"/>
        </w:trPr>
        <w:tc>
          <w:tcPr>
            <w:tcW w:w="1177" w:type="pct"/>
            <w:tcBorders>
              <w:top w:val="nil"/>
              <w:left w:val="nil"/>
              <w:bottom w:val="nil"/>
              <w:right w:val="nil"/>
            </w:tcBorders>
            <w:shd w:val="clear" w:color="auto" w:fill="auto"/>
            <w:noWrap/>
            <w:vAlign w:val="bottom"/>
            <w:hideMark/>
          </w:tcPr>
          <w:p w:rsidR="007253B5" w:rsidRPr="000D39AF" w:rsidRDefault="007253B5" w:rsidP="007253B5">
            <w:pPr>
              <w:pStyle w:val="TableText"/>
            </w:pPr>
            <w:r>
              <w:t>NSW Murray Above</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434.5</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-5.0%</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-14.8%</w:t>
            </w:r>
          </w:p>
        </w:tc>
      </w:tr>
      <w:tr w:rsidR="007253B5" w:rsidRPr="000D39AF" w:rsidTr="007253B5">
        <w:trPr>
          <w:trHeight w:val="300"/>
        </w:trPr>
        <w:tc>
          <w:tcPr>
            <w:tcW w:w="1177" w:type="pct"/>
            <w:tcBorders>
              <w:top w:val="nil"/>
              <w:left w:val="nil"/>
              <w:bottom w:val="nil"/>
              <w:right w:val="nil"/>
            </w:tcBorders>
            <w:shd w:val="clear" w:color="auto" w:fill="auto"/>
            <w:noWrap/>
            <w:vAlign w:val="bottom"/>
          </w:tcPr>
          <w:p w:rsidR="007253B5" w:rsidRPr="000D39AF" w:rsidRDefault="007253B5" w:rsidP="007253B5">
            <w:pPr>
              <w:pStyle w:val="TableText"/>
            </w:pPr>
            <w:r>
              <w:t>NSW Murray Below</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109.8</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46.2%</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34.5%</w:t>
            </w:r>
          </w:p>
        </w:tc>
      </w:tr>
      <w:tr w:rsidR="007253B5" w:rsidRPr="000D39AF" w:rsidTr="007253B5">
        <w:trPr>
          <w:trHeight w:val="300"/>
        </w:trPr>
        <w:tc>
          <w:tcPr>
            <w:tcW w:w="1177" w:type="pct"/>
            <w:tcBorders>
              <w:top w:val="nil"/>
              <w:left w:val="nil"/>
              <w:bottom w:val="nil"/>
              <w:right w:val="nil"/>
            </w:tcBorders>
            <w:shd w:val="clear" w:color="auto" w:fill="auto"/>
            <w:noWrap/>
            <w:vAlign w:val="bottom"/>
          </w:tcPr>
          <w:p w:rsidR="007253B5" w:rsidRPr="000D39AF" w:rsidRDefault="007253B5" w:rsidP="007253B5">
            <w:pPr>
              <w:pStyle w:val="TableText"/>
            </w:pPr>
            <w:r>
              <w:t>NSW Murrumbidgee</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1049.7</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-6.6%</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-16.8%</w:t>
            </w:r>
          </w:p>
        </w:tc>
      </w:tr>
      <w:tr w:rsidR="007253B5" w:rsidRPr="000D39AF" w:rsidTr="007253B5">
        <w:trPr>
          <w:trHeight w:val="300"/>
        </w:trPr>
        <w:tc>
          <w:tcPr>
            <w:tcW w:w="1177" w:type="pct"/>
            <w:tcBorders>
              <w:top w:val="nil"/>
              <w:left w:val="nil"/>
              <w:bottom w:val="nil"/>
              <w:right w:val="nil"/>
            </w:tcBorders>
            <w:shd w:val="clear" w:color="auto" w:fill="auto"/>
            <w:noWrap/>
            <w:vAlign w:val="bottom"/>
          </w:tcPr>
          <w:p w:rsidR="007253B5" w:rsidRPr="000D39AF" w:rsidRDefault="007253B5" w:rsidP="007253B5">
            <w:pPr>
              <w:pStyle w:val="TableText"/>
            </w:pPr>
            <w:r>
              <w:t>SA Murray</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297.5</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17.2%</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15.4%</w:t>
            </w:r>
          </w:p>
        </w:tc>
      </w:tr>
      <w:tr w:rsidR="007253B5" w:rsidRPr="000D39AF" w:rsidTr="007253B5">
        <w:trPr>
          <w:trHeight w:val="300"/>
        </w:trPr>
        <w:tc>
          <w:tcPr>
            <w:tcW w:w="1177" w:type="pct"/>
            <w:tcBorders>
              <w:top w:val="nil"/>
              <w:left w:val="nil"/>
              <w:bottom w:val="nil"/>
              <w:right w:val="nil"/>
            </w:tcBorders>
            <w:shd w:val="clear" w:color="auto" w:fill="auto"/>
            <w:noWrap/>
            <w:vAlign w:val="bottom"/>
          </w:tcPr>
          <w:p w:rsidR="007253B5" w:rsidRPr="000D39AF" w:rsidRDefault="007253B5" w:rsidP="007253B5">
            <w:pPr>
              <w:pStyle w:val="TableText"/>
            </w:pPr>
            <w:r>
              <w:t>Vic. Goulburn-Broken</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514.2</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-17.8%</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-30.4%</w:t>
            </w:r>
          </w:p>
        </w:tc>
      </w:tr>
      <w:tr w:rsidR="007253B5" w:rsidRPr="000D39AF" w:rsidTr="007253B5">
        <w:trPr>
          <w:trHeight w:val="300"/>
        </w:trPr>
        <w:tc>
          <w:tcPr>
            <w:tcW w:w="1177" w:type="pct"/>
            <w:tcBorders>
              <w:top w:val="nil"/>
              <w:left w:val="nil"/>
              <w:bottom w:val="nil"/>
              <w:right w:val="nil"/>
            </w:tcBorders>
            <w:shd w:val="clear" w:color="auto" w:fill="auto"/>
            <w:noWrap/>
            <w:vAlign w:val="bottom"/>
          </w:tcPr>
          <w:p w:rsidR="007253B5" w:rsidRPr="000D39AF" w:rsidRDefault="007253B5" w:rsidP="007253B5">
            <w:pPr>
              <w:pStyle w:val="TableText"/>
            </w:pPr>
            <w:r>
              <w:t>Vic. Loddon-Campaspe</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52.6</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-17.0%</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-30.2%</w:t>
            </w:r>
          </w:p>
        </w:tc>
      </w:tr>
      <w:tr w:rsidR="007253B5" w:rsidRPr="000D39AF" w:rsidTr="007253B5">
        <w:trPr>
          <w:trHeight w:val="300"/>
        </w:trPr>
        <w:tc>
          <w:tcPr>
            <w:tcW w:w="1177" w:type="pct"/>
            <w:tcBorders>
              <w:top w:val="nil"/>
              <w:left w:val="nil"/>
              <w:bottom w:val="nil"/>
              <w:right w:val="nil"/>
            </w:tcBorders>
            <w:shd w:val="clear" w:color="auto" w:fill="auto"/>
            <w:noWrap/>
            <w:vAlign w:val="bottom"/>
          </w:tcPr>
          <w:p w:rsidR="007253B5" w:rsidRPr="000D39AF" w:rsidRDefault="007253B5" w:rsidP="007253B5">
            <w:pPr>
              <w:pStyle w:val="TableText"/>
            </w:pPr>
            <w:r>
              <w:t>Vic. Murray Above</w:t>
            </w:r>
          </w:p>
        </w:tc>
        <w:tc>
          <w:tcPr>
            <w:tcW w:w="1773"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156.9</w:t>
            </w:r>
          </w:p>
        </w:tc>
        <w:tc>
          <w:tcPr>
            <w:tcW w:w="1006"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-1.2%</w:t>
            </w:r>
          </w:p>
        </w:tc>
        <w:tc>
          <w:tcPr>
            <w:tcW w:w="1045" w:type="pct"/>
            <w:tcBorders>
              <w:top w:val="nil"/>
              <w:left w:val="nil"/>
              <w:bottom w:val="nil"/>
              <w:right w:val="nil"/>
            </w:tcBorders>
            <w:shd w:val="clear" w:color="auto" w:fill="auto"/>
            <w:noWrap/>
          </w:tcPr>
          <w:p w:rsidR="007253B5" w:rsidRPr="003C18F9" w:rsidRDefault="007253B5" w:rsidP="007253B5">
            <w:pPr>
              <w:pStyle w:val="TableText"/>
              <w:jc w:val="right"/>
            </w:pPr>
            <w:r w:rsidRPr="000A3BF9">
              <w:t>-5.5%</w:t>
            </w:r>
          </w:p>
        </w:tc>
      </w:tr>
      <w:tr w:rsidR="007253B5" w:rsidRPr="000D39AF" w:rsidTr="007253B5">
        <w:trPr>
          <w:trHeight w:val="300"/>
        </w:trPr>
        <w:tc>
          <w:tcPr>
            <w:tcW w:w="1177" w:type="pct"/>
            <w:tcBorders>
              <w:top w:val="nil"/>
              <w:left w:val="nil"/>
              <w:bottom w:val="single" w:sz="4" w:space="0" w:color="auto"/>
              <w:right w:val="nil"/>
            </w:tcBorders>
            <w:shd w:val="clear" w:color="auto" w:fill="auto"/>
            <w:noWrap/>
            <w:vAlign w:val="bottom"/>
          </w:tcPr>
          <w:p w:rsidR="007253B5" w:rsidRPr="000D39AF" w:rsidRDefault="007253B5" w:rsidP="007253B5">
            <w:pPr>
              <w:pStyle w:val="TableText"/>
            </w:pPr>
            <w:r>
              <w:t>Vic. Murray Below</w:t>
            </w:r>
          </w:p>
        </w:tc>
        <w:tc>
          <w:tcPr>
            <w:tcW w:w="1773"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rsidRPr="000A3BF9">
              <w:t>707.3</w:t>
            </w:r>
          </w:p>
        </w:tc>
        <w:tc>
          <w:tcPr>
            <w:tcW w:w="1006"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rsidRPr="000A3BF9">
              <w:t>-2.6%</w:t>
            </w:r>
          </w:p>
        </w:tc>
        <w:tc>
          <w:tcPr>
            <w:tcW w:w="1045"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rsidRPr="000A3BF9">
              <w:t>-7.0%</w:t>
            </w:r>
          </w:p>
        </w:tc>
      </w:tr>
    </w:tbl>
    <w:p w:rsidR="007253B5" w:rsidRDefault="007253B5" w:rsidP="007253B5"/>
    <w:p w:rsidR="00CB735C" w:rsidRDefault="00CB735C" w:rsidP="00CB735C">
      <w:pPr>
        <w:pStyle w:val="Caption"/>
      </w:pPr>
      <w:bookmarkStart w:id="132" w:name="_Toc33629234"/>
      <w:bookmarkStart w:id="133" w:name="_Toc33629267"/>
      <w:bookmarkStart w:id="134" w:name="_Toc33712877"/>
      <w:bookmarkStart w:id="135" w:name="_Toc34318711"/>
      <w:bookmarkStart w:id="136" w:name="_Toc34735541"/>
      <w:bookmarkStart w:id="137" w:name="_Toc34735563"/>
      <w:r>
        <w:t>Table B</w:t>
      </w:r>
      <w:r>
        <w:rPr>
          <w:noProof/>
        </w:rPr>
        <w:fldChar w:fldCharType="begin"/>
      </w:r>
      <w:r>
        <w:rPr>
          <w:noProof/>
        </w:rPr>
        <w:instrText xml:space="preserve"> SEQ Table_B \* ARABIC </w:instrText>
      </w:r>
      <w:r>
        <w:rPr>
          <w:noProof/>
        </w:rPr>
        <w:fldChar w:fldCharType="separate"/>
      </w:r>
      <w:r w:rsidR="004D407F">
        <w:rPr>
          <w:noProof/>
        </w:rPr>
        <w:t>5</w:t>
      </w:r>
      <w:r>
        <w:rPr>
          <w:noProof/>
        </w:rPr>
        <w:fldChar w:fldCharType="end"/>
      </w:r>
      <w:r>
        <w:t xml:space="preserve"> </w:t>
      </w:r>
      <w:r w:rsidR="00044FE7">
        <w:t>Percentage chance of allocation price ranges in southern basin, by scenario</w:t>
      </w:r>
      <w:bookmarkEnd w:id="132"/>
      <w:bookmarkEnd w:id="133"/>
      <w:bookmarkEnd w:id="134"/>
      <w:bookmarkEnd w:id="135"/>
      <w:bookmarkEnd w:id="136"/>
      <w:bookmarkEnd w:id="137"/>
    </w:p>
    <w:tbl>
      <w:tblPr>
        <w:tblW w:w="5000" w:type="pct"/>
        <w:tblLayout w:type="fixed"/>
        <w:tblLook w:val="04A0" w:firstRow="1" w:lastRow="0" w:firstColumn="1" w:lastColumn="0" w:noHBand="0" w:noVBand="1"/>
      </w:tblPr>
      <w:tblGrid>
        <w:gridCol w:w="1848"/>
        <w:gridCol w:w="1700"/>
        <w:gridCol w:w="1843"/>
        <w:gridCol w:w="1841"/>
        <w:gridCol w:w="1838"/>
      </w:tblGrid>
      <w:tr w:rsidR="00CB735C" w:rsidRPr="000D39AF" w:rsidTr="00044FE7">
        <w:trPr>
          <w:trHeight w:val="300"/>
        </w:trPr>
        <w:tc>
          <w:tcPr>
            <w:tcW w:w="1019" w:type="pct"/>
            <w:tcBorders>
              <w:top w:val="single" w:sz="4" w:space="0" w:color="auto"/>
              <w:left w:val="nil"/>
              <w:bottom w:val="single" w:sz="4" w:space="0" w:color="auto"/>
              <w:right w:val="nil"/>
            </w:tcBorders>
            <w:shd w:val="clear" w:color="auto" w:fill="auto"/>
            <w:noWrap/>
            <w:vAlign w:val="bottom"/>
            <w:hideMark/>
          </w:tcPr>
          <w:p w:rsidR="00CB735C" w:rsidRPr="000D39AF" w:rsidRDefault="00CB735C" w:rsidP="00A227CC">
            <w:pPr>
              <w:pStyle w:val="TableText"/>
              <w:rPr>
                <w:b/>
              </w:rPr>
            </w:pPr>
            <w:r>
              <w:rPr>
                <w:b/>
              </w:rPr>
              <w:t>Scenario</w:t>
            </w:r>
          </w:p>
        </w:tc>
        <w:tc>
          <w:tcPr>
            <w:tcW w:w="937" w:type="pct"/>
            <w:tcBorders>
              <w:top w:val="single" w:sz="4" w:space="0" w:color="auto"/>
              <w:left w:val="nil"/>
              <w:bottom w:val="single" w:sz="4" w:space="0" w:color="auto"/>
              <w:right w:val="nil"/>
            </w:tcBorders>
            <w:shd w:val="clear" w:color="auto" w:fill="auto"/>
            <w:noWrap/>
            <w:vAlign w:val="bottom"/>
          </w:tcPr>
          <w:p w:rsidR="00CB735C" w:rsidRPr="000D39AF" w:rsidRDefault="00CB735C" w:rsidP="00CB735C">
            <w:pPr>
              <w:pStyle w:val="TableText"/>
              <w:jc w:val="right"/>
              <w:rPr>
                <w:b/>
              </w:rPr>
            </w:pPr>
            <w:r>
              <w:rPr>
                <w:b/>
              </w:rPr>
              <w:t>Low prices</w:t>
            </w:r>
            <w:r>
              <w:rPr>
                <w:b/>
              </w:rPr>
              <w:br/>
              <w:t>($0 – $199/ML)</w:t>
            </w:r>
          </w:p>
        </w:tc>
        <w:tc>
          <w:tcPr>
            <w:tcW w:w="1016" w:type="pct"/>
            <w:tcBorders>
              <w:top w:val="single" w:sz="4" w:space="0" w:color="auto"/>
              <w:left w:val="nil"/>
              <w:bottom w:val="single" w:sz="4" w:space="0" w:color="auto"/>
              <w:right w:val="nil"/>
            </w:tcBorders>
            <w:vAlign w:val="bottom"/>
          </w:tcPr>
          <w:p w:rsidR="00CB735C" w:rsidRDefault="00CB735C" w:rsidP="00CB735C">
            <w:pPr>
              <w:pStyle w:val="TableText"/>
              <w:jc w:val="right"/>
              <w:rPr>
                <w:b/>
              </w:rPr>
            </w:pPr>
            <w:r>
              <w:rPr>
                <w:b/>
              </w:rPr>
              <w:t>Moderate prices</w:t>
            </w:r>
            <w:r>
              <w:rPr>
                <w:b/>
              </w:rPr>
              <w:br/>
              <w:t>($200 – $399/ML)</w:t>
            </w:r>
          </w:p>
        </w:tc>
        <w:tc>
          <w:tcPr>
            <w:tcW w:w="1015" w:type="pct"/>
            <w:tcBorders>
              <w:top w:val="single" w:sz="4" w:space="0" w:color="auto"/>
              <w:left w:val="nil"/>
              <w:bottom w:val="single" w:sz="4" w:space="0" w:color="auto"/>
              <w:right w:val="nil"/>
            </w:tcBorders>
            <w:shd w:val="clear" w:color="auto" w:fill="auto"/>
            <w:noWrap/>
            <w:vAlign w:val="bottom"/>
          </w:tcPr>
          <w:p w:rsidR="00CB735C" w:rsidRPr="000D39AF" w:rsidRDefault="00CB735C" w:rsidP="00CB735C">
            <w:pPr>
              <w:pStyle w:val="TableText"/>
              <w:jc w:val="right"/>
              <w:rPr>
                <w:b/>
              </w:rPr>
            </w:pPr>
            <w:r>
              <w:rPr>
                <w:b/>
              </w:rPr>
              <w:t>High prices</w:t>
            </w:r>
            <w:r>
              <w:rPr>
                <w:b/>
              </w:rPr>
              <w:br/>
              <w:t>($400 – $599/ML)</w:t>
            </w:r>
          </w:p>
        </w:tc>
        <w:tc>
          <w:tcPr>
            <w:tcW w:w="1013" w:type="pct"/>
            <w:tcBorders>
              <w:top w:val="single" w:sz="4" w:space="0" w:color="auto"/>
              <w:left w:val="nil"/>
              <w:bottom w:val="single" w:sz="4" w:space="0" w:color="auto"/>
              <w:right w:val="nil"/>
            </w:tcBorders>
            <w:shd w:val="clear" w:color="auto" w:fill="auto"/>
            <w:noWrap/>
            <w:vAlign w:val="bottom"/>
          </w:tcPr>
          <w:p w:rsidR="00CB735C" w:rsidRPr="000D39AF" w:rsidRDefault="00CB735C" w:rsidP="00044FE7">
            <w:pPr>
              <w:pStyle w:val="TableText"/>
              <w:jc w:val="right"/>
              <w:rPr>
                <w:b/>
              </w:rPr>
            </w:pPr>
            <w:r>
              <w:rPr>
                <w:b/>
              </w:rPr>
              <w:t>Very high prices</w:t>
            </w:r>
            <w:r>
              <w:rPr>
                <w:b/>
              </w:rPr>
              <w:br/>
              <w:t xml:space="preserve">($600/ML </w:t>
            </w:r>
            <w:r w:rsidR="00044FE7">
              <w:rPr>
                <w:b/>
              </w:rPr>
              <w:t>&amp; above</w:t>
            </w:r>
            <w:r>
              <w:rPr>
                <w:b/>
              </w:rPr>
              <w:t>)</w:t>
            </w:r>
          </w:p>
        </w:tc>
      </w:tr>
      <w:tr w:rsidR="00044FE7" w:rsidRPr="000D39AF" w:rsidTr="00044FE7">
        <w:trPr>
          <w:trHeight w:val="300"/>
        </w:trPr>
        <w:tc>
          <w:tcPr>
            <w:tcW w:w="1019" w:type="pct"/>
            <w:tcBorders>
              <w:top w:val="single" w:sz="4" w:space="0" w:color="auto"/>
              <w:left w:val="nil"/>
              <w:bottom w:val="nil"/>
              <w:right w:val="nil"/>
            </w:tcBorders>
            <w:shd w:val="clear" w:color="auto" w:fill="auto"/>
            <w:noWrap/>
            <w:vAlign w:val="bottom"/>
            <w:hideMark/>
          </w:tcPr>
          <w:p w:rsidR="00044FE7" w:rsidRPr="000D39AF" w:rsidRDefault="00044FE7" w:rsidP="00044FE7">
            <w:pPr>
              <w:pStyle w:val="TableText"/>
            </w:pPr>
            <w:r>
              <w:t>Observed</w:t>
            </w:r>
          </w:p>
        </w:tc>
        <w:tc>
          <w:tcPr>
            <w:tcW w:w="937" w:type="pct"/>
            <w:tcBorders>
              <w:top w:val="single" w:sz="4" w:space="0" w:color="auto"/>
              <w:left w:val="nil"/>
              <w:bottom w:val="nil"/>
              <w:right w:val="nil"/>
            </w:tcBorders>
            <w:shd w:val="clear" w:color="auto" w:fill="auto"/>
            <w:noWrap/>
          </w:tcPr>
          <w:p w:rsidR="00044FE7" w:rsidRPr="000D4181" w:rsidRDefault="00044FE7" w:rsidP="00044FE7">
            <w:pPr>
              <w:pStyle w:val="TableText"/>
              <w:jc w:val="right"/>
            </w:pPr>
            <w:r w:rsidRPr="000D4181">
              <w:t>64%</w:t>
            </w:r>
          </w:p>
        </w:tc>
        <w:tc>
          <w:tcPr>
            <w:tcW w:w="1016" w:type="pct"/>
            <w:tcBorders>
              <w:top w:val="single" w:sz="4" w:space="0" w:color="auto"/>
              <w:left w:val="nil"/>
              <w:bottom w:val="nil"/>
              <w:right w:val="nil"/>
            </w:tcBorders>
          </w:tcPr>
          <w:p w:rsidR="00044FE7" w:rsidRPr="000D4181" w:rsidRDefault="00044FE7" w:rsidP="00044FE7">
            <w:pPr>
              <w:pStyle w:val="TableText"/>
              <w:jc w:val="right"/>
            </w:pPr>
            <w:r w:rsidRPr="000D4181">
              <w:t>7%</w:t>
            </w:r>
          </w:p>
        </w:tc>
        <w:tc>
          <w:tcPr>
            <w:tcW w:w="1015" w:type="pct"/>
            <w:tcBorders>
              <w:top w:val="single" w:sz="4" w:space="0" w:color="auto"/>
              <w:left w:val="nil"/>
              <w:bottom w:val="nil"/>
              <w:right w:val="nil"/>
            </w:tcBorders>
            <w:shd w:val="clear" w:color="auto" w:fill="auto"/>
            <w:noWrap/>
          </w:tcPr>
          <w:p w:rsidR="00044FE7" w:rsidRPr="000D4181" w:rsidRDefault="00044FE7" w:rsidP="00044FE7">
            <w:pPr>
              <w:pStyle w:val="TableText"/>
              <w:jc w:val="right"/>
            </w:pPr>
            <w:r w:rsidRPr="000D4181">
              <w:t>21%</w:t>
            </w:r>
          </w:p>
        </w:tc>
        <w:tc>
          <w:tcPr>
            <w:tcW w:w="1013" w:type="pct"/>
            <w:tcBorders>
              <w:top w:val="single" w:sz="4" w:space="0" w:color="auto"/>
              <w:left w:val="nil"/>
              <w:bottom w:val="nil"/>
              <w:right w:val="nil"/>
            </w:tcBorders>
            <w:shd w:val="clear" w:color="auto" w:fill="auto"/>
            <w:noWrap/>
          </w:tcPr>
          <w:p w:rsidR="00044FE7" w:rsidRPr="000D4181" w:rsidRDefault="00044FE7" w:rsidP="00044FE7">
            <w:pPr>
              <w:pStyle w:val="TableText"/>
              <w:jc w:val="right"/>
            </w:pPr>
            <w:r w:rsidRPr="000D4181">
              <w:t>7%</w:t>
            </w:r>
          </w:p>
        </w:tc>
      </w:tr>
      <w:tr w:rsidR="00044FE7" w:rsidRPr="000D39AF" w:rsidTr="00044FE7">
        <w:trPr>
          <w:trHeight w:val="300"/>
        </w:trPr>
        <w:tc>
          <w:tcPr>
            <w:tcW w:w="1019" w:type="pct"/>
            <w:tcBorders>
              <w:top w:val="nil"/>
              <w:left w:val="nil"/>
              <w:bottom w:val="nil"/>
              <w:right w:val="nil"/>
            </w:tcBorders>
            <w:shd w:val="clear" w:color="auto" w:fill="auto"/>
            <w:noWrap/>
            <w:vAlign w:val="bottom"/>
            <w:hideMark/>
          </w:tcPr>
          <w:p w:rsidR="00044FE7" w:rsidRPr="000D39AF" w:rsidRDefault="00044FE7" w:rsidP="00044FE7">
            <w:pPr>
              <w:pStyle w:val="TableText"/>
            </w:pPr>
            <w:r>
              <w:t>Current market</w:t>
            </w:r>
          </w:p>
        </w:tc>
        <w:tc>
          <w:tcPr>
            <w:tcW w:w="937" w:type="pct"/>
            <w:tcBorders>
              <w:top w:val="nil"/>
              <w:left w:val="nil"/>
              <w:bottom w:val="nil"/>
              <w:right w:val="nil"/>
            </w:tcBorders>
            <w:shd w:val="clear" w:color="auto" w:fill="auto"/>
            <w:noWrap/>
          </w:tcPr>
          <w:p w:rsidR="00044FE7" w:rsidRPr="000D4181" w:rsidRDefault="00044FE7" w:rsidP="00044FE7">
            <w:pPr>
              <w:pStyle w:val="TableText"/>
              <w:jc w:val="right"/>
            </w:pPr>
            <w:r w:rsidRPr="000D4181">
              <w:t>50%</w:t>
            </w:r>
          </w:p>
        </w:tc>
        <w:tc>
          <w:tcPr>
            <w:tcW w:w="1016" w:type="pct"/>
            <w:tcBorders>
              <w:top w:val="nil"/>
              <w:left w:val="nil"/>
              <w:bottom w:val="nil"/>
              <w:right w:val="nil"/>
            </w:tcBorders>
          </w:tcPr>
          <w:p w:rsidR="00044FE7" w:rsidRPr="000D4181" w:rsidRDefault="00044FE7" w:rsidP="00044FE7">
            <w:pPr>
              <w:pStyle w:val="TableText"/>
              <w:jc w:val="right"/>
            </w:pPr>
            <w:r w:rsidRPr="000D4181">
              <w:t>14%</w:t>
            </w:r>
          </w:p>
        </w:tc>
        <w:tc>
          <w:tcPr>
            <w:tcW w:w="1015" w:type="pct"/>
            <w:tcBorders>
              <w:top w:val="nil"/>
              <w:left w:val="nil"/>
              <w:bottom w:val="nil"/>
              <w:right w:val="nil"/>
            </w:tcBorders>
            <w:shd w:val="clear" w:color="auto" w:fill="auto"/>
            <w:noWrap/>
          </w:tcPr>
          <w:p w:rsidR="00044FE7" w:rsidRPr="000D4181" w:rsidRDefault="00044FE7" w:rsidP="00044FE7">
            <w:pPr>
              <w:pStyle w:val="TableText"/>
              <w:jc w:val="right"/>
            </w:pPr>
            <w:r w:rsidRPr="000D4181">
              <w:t>21%</w:t>
            </w:r>
          </w:p>
        </w:tc>
        <w:tc>
          <w:tcPr>
            <w:tcW w:w="1013" w:type="pct"/>
            <w:tcBorders>
              <w:top w:val="nil"/>
              <w:left w:val="nil"/>
              <w:bottom w:val="nil"/>
              <w:right w:val="nil"/>
            </w:tcBorders>
            <w:shd w:val="clear" w:color="auto" w:fill="auto"/>
            <w:noWrap/>
          </w:tcPr>
          <w:p w:rsidR="00044FE7" w:rsidRPr="000D4181" w:rsidRDefault="00044FE7" w:rsidP="00044FE7">
            <w:pPr>
              <w:pStyle w:val="TableText"/>
              <w:jc w:val="right"/>
            </w:pPr>
            <w:r w:rsidRPr="000D4181">
              <w:t>14%</w:t>
            </w:r>
          </w:p>
        </w:tc>
      </w:tr>
      <w:tr w:rsidR="00044FE7" w:rsidRPr="000D39AF" w:rsidTr="00044FE7">
        <w:trPr>
          <w:trHeight w:val="300"/>
        </w:trPr>
        <w:tc>
          <w:tcPr>
            <w:tcW w:w="1019" w:type="pct"/>
            <w:tcBorders>
              <w:top w:val="nil"/>
              <w:left w:val="nil"/>
              <w:bottom w:val="nil"/>
              <w:right w:val="nil"/>
            </w:tcBorders>
            <w:shd w:val="clear" w:color="auto" w:fill="auto"/>
            <w:noWrap/>
            <w:vAlign w:val="bottom"/>
          </w:tcPr>
          <w:p w:rsidR="00044FE7" w:rsidRPr="000D39AF" w:rsidRDefault="00044FE7" w:rsidP="00044FE7">
            <w:pPr>
              <w:pStyle w:val="TableText"/>
            </w:pPr>
            <w:r>
              <w:t>Future market</w:t>
            </w:r>
          </w:p>
        </w:tc>
        <w:tc>
          <w:tcPr>
            <w:tcW w:w="937" w:type="pct"/>
            <w:tcBorders>
              <w:top w:val="nil"/>
              <w:left w:val="nil"/>
              <w:bottom w:val="nil"/>
              <w:right w:val="nil"/>
            </w:tcBorders>
            <w:shd w:val="clear" w:color="auto" w:fill="auto"/>
            <w:noWrap/>
          </w:tcPr>
          <w:p w:rsidR="00044FE7" w:rsidRPr="000D4181" w:rsidRDefault="00044FE7" w:rsidP="00044FE7">
            <w:pPr>
              <w:pStyle w:val="TableText"/>
              <w:jc w:val="right"/>
            </w:pPr>
            <w:r w:rsidRPr="000D4181">
              <w:t>14%</w:t>
            </w:r>
          </w:p>
        </w:tc>
        <w:tc>
          <w:tcPr>
            <w:tcW w:w="1016" w:type="pct"/>
            <w:tcBorders>
              <w:top w:val="nil"/>
              <w:left w:val="nil"/>
              <w:bottom w:val="nil"/>
              <w:right w:val="nil"/>
            </w:tcBorders>
          </w:tcPr>
          <w:p w:rsidR="00044FE7" w:rsidRPr="000D4181" w:rsidRDefault="00044FE7" w:rsidP="00044FE7">
            <w:pPr>
              <w:pStyle w:val="TableText"/>
              <w:jc w:val="right"/>
            </w:pPr>
            <w:r w:rsidRPr="000D4181">
              <w:t>50%</w:t>
            </w:r>
          </w:p>
        </w:tc>
        <w:tc>
          <w:tcPr>
            <w:tcW w:w="1015" w:type="pct"/>
            <w:tcBorders>
              <w:top w:val="nil"/>
              <w:left w:val="nil"/>
              <w:bottom w:val="nil"/>
              <w:right w:val="nil"/>
            </w:tcBorders>
            <w:shd w:val="clear" w:color="auto" w:fill="auto"/>
            <w:noWrap/>
          </w:tcPr>
          <w:p w:rsidR="00044FE7" w:rsidRPr="000D4181" w:rsidRDefault="00044FE7" w:rsidP="00044FE7">
            <w:pPr>
              <w:pStyle w:val="TableText"/>
              <w:jc w:val="right"/>
            </w:pPr>
            <w:r w:rsidRPr="000D4181">
              <w:t>14%</w:t>
            </w:r>
          </w:p>
        </w:tc>
        <w:tc>
          <w:tcPr>
            <w:tcW w:w="1013" w:type="pct"/>
            <w:tcBorders>
              <w:top w:val="nil"/>
              <w:left w:val="nil"/>
              <w:bottom w:val="nil"/>
              <w:right w:val="nil"/>
            </w:tcBorders>
            <w:shd w:val="clear" w:color="auto" w:fill="auto"/>
            <w:noWrap/>
          </w:tcPr>
          <w:p w:rsidR="00044FE7" w:rsidRDefault="00044FE7" w:rsidP="00044FE7">
            <w:pPr>
              <w:pStyle w:val="TableText"/>
              <w:jc w:val="right"/>
            </w:pPr>
            <w:r w:rsidRPr="000D4181">
              <w:t>21%</w:t>
            </w:r>
          </w:p>
        </w:tc>
      </w:tr>
      <w:tr w:rsidR="00044FE7" w:rsidRPr="000D39AF" w:rsidTr="00044FE7">
        <w:trPr>
          <w:trHeight w:val="300"/>
        </w:trPr>
        <w:tc>
          <w:tcPr>
            <w:tcW w:w="1019" w:type="pct"/>
            <w:tcBorders>
              <w:top w:val="nil"/>
              <w:left w:val="nil"/>
              <w:bottom w:val="single" w:sz="4" w:space="0" w:color="auto"/>
              <w:right w:val="nil"/>
            </w:tcBorders>
            <w:shd w:val="clear" w:color="auto" w:fill="auto"/>
            <w:noWrap/>
            <w:vAlign w:val="bottom"/>
          </w:tcPr>
          <w:p w:rsidR="00044FE7" w:rsidRPr="000D39AF" w:rsidRDefault="00044FE7" w:rsidP="00044FE7">
            <w:pPr>
              <w:pStyle w:val="TableText"/>
            </w:pPr>
            <w:r>
              <w:t>Future market (dry)</w:t>
            </w:r>
          </w:p>
        </w:tc>
        <w:tc>
          <w:tcPr>
            <w:tcW w:w="937" w:type="pct"/>
            <w:tcBorders>
              <w:top w:val="nil"/>
              <w:left w:val="nil"/>
              <w:bottom w:val="single" w:sz="4" w:space="0" w:color="auto"/>
              <w:right w:val="nil"/>
            </w:tcBorders>
            <w:shd w:val="clear" w:color="auto" w:fill="auto"/>
            <w:noWrap/>
          </w:tcPr>
          <w:p w:rsidR="00044FE7" w:rsidRPr="006A3ABD" w:rsidRDefault="00044FE7" w:rsidP="00044FE7">
            <w:pPr>
              <w:pStyle w:val="TableText"/>
              <w:jc w:val="right"/>
            </w:pPr>
            <w:r w:rsidRPr="006A3ABD">
              <w:t>0%</w:t>
            </w:r>
          </w:p>
        </w:tc>
        <w:tc>
          <w:tcPr>
            <w:tcW w:w="1016" w:type="pct"/>
            <w:tcBorders>
              <w:top w:val="nil"/>
              <w:left w:val="nil"/>
              <w:bottom w:val="single" w:sz="4" w:space="0" w:color="auto"/>
              <w:right w:val="nil"/>
            </w:tcBorders>
          </w:tcPr>
          <w:p w:rsidR="00044FE7" w:rsidRPr="006A3ABD" w:rsidRDefault="00044FE7" w:rsidP="00044FE7">
            <w:pPr>
              <w:pStyle w:val="TableText"/>
              <w:jc w:val="right"/>
            </w:pPr>
            <w:r w:rsidRPr="006A3ABD">
              <w:t>64%</w:t>
            </w:r>
          </w:p>
        </w:tc>
        <w:tc>
          <w:tcPr>
            <w:tcW w:w="1015" w:type="pct"/>
            <w:tcBorders>
              <w:top w:val="nil"/>
              <w:left w:val="nil"/>
              <w:bottom w:val="single" w:sz="4" w:space="0" w:color="auto"/>
              <w:right w:val="nil"/>
            </w:tcBorders>
            <w:shd w:val="clear" w:color="auto" w:fill="auto"/>
            <w:noWrap/>
          </w:tcPr>
          <w:p w:rsidR="00044FE7" w:rsidRPr="006A3ABD" w:rsidRDefault="00044FE7" w:rsidP="00044FE7">
            <w:pPr>
              <w:pStyle w:val="TableText"/>
              <w:jc w:val="right"/>
            </w:pPr>
            <w:r w:rsidRPr="006A3ABD">
              <w:t>14%</w:t>
            </w:r>
          </w:p>
        </w:tc>
        <w:tc>
          <w:tcPr>
            <w:tcW w:w="1013" w:type="pct"/>
            <w:tcBorders>
              <w:top w:val="nil"/>
              <w:left w:val="nil"/>
              <w:bottom w:val="single" w:sz="4" w:space="0" w:color="auto"/>
              <w:right w:val="nil"/>
            </w:tcBorders>
            <w:shd w:val="clear" w:color="auto" w:fill="auto"/>
            <w:noWrap/>
          </w:tcPr>
          <w:p w:rsidR="00044FE7" w:rsidRDefault="00044FE7" w:rsidP="00044FE7">
            <w:pPr>
              <w:pStyle w:val="TableText"/>
              <w:jc w:val="right"/>
            </w:pPr>
            <w:r w:rsidRPr="006A3ABD">
              <w:t>21%</w:t>
            </w:r>
          </w:p>
        </w:tc>
      </w:tr>
    </w:tbl>
    <w:p w:rsidR="00CB735C" w:rsidRDefault="00CB735C" w:rsidP="007253B5"/>
    <w:p w:rsidR="00853CC8" w:rsidRDefault="00853CC8" w:rsidP="00853CC8">
      <w:pPr>
        <w:pStyle w:val="Caption"/>
      </w:pPr>
      <w:bookmarkStart w:id="138" w:name="_Toc33629235"/>
      <w:bookmarkStart w:id="139" w:name="_Toc33629268"/>
      <w:bookmarkStart w:id="140" w:name="_Toc33712878"/>
      <w:bookmarkStart w:id="141" w:name="_Toc34318712"/>
      <w:bookmarkStart w:id="142" w:name="_Toc34735542"/>
      <w:bookmarkStart w:id="143" w:name="_Toc34735564"/>
      <w:r>
        <w:lastRenderedPageBreak/>
        <w:t>Table B</w:t>
      </w:r>
      <w:r>
        <w:rPr>
          <w:noProof/>
        </w:rPr>
        <w:fldChar w:fldCharType="begin"/>
      </w:r>
      <w:r>
        <w:rPr>
          <w:noProof/>
        </w:rPr>
        <w:instrText xml:space="preserve"> SEQ Table_B \* ARABIC </w:instrText>
      </w:r>
      <w:r>
        <w:rPr>
          <w:noProof/>
        </w:rPr>
        <w:fldChar w:fldCharType="separate"/>
      </w:r>
      <w:r w:rsidR="004D407F">
        <w:rPr>
          <w:noProof/>
        </w:rPr>
        <w:t>6</w:t>
      </w:r>
      <w:r>
        <w:rPr>
          <w:noProof/>
        </w:rPr>
        <w:fldChar w:fldCharType="end"/>
      </w:r>
      <w:r>
        <w:t xml:space="preserve"> Water use (GL) by activity, ‘dry’, ‘wet’ and ‘average’ years, current market</w:t>
      </w:r>
      <w:bookmarkEnd w:id="138"/>
      <w:bookmarkEnd w:id="139"/>
      <w:bookmarkEnd w:id="140"/>
      <w:bookmarkEnd w:id="141"/>
      <w:bookmarkEnd w:id="142"/>
      <w:bookmarkEnd w:id="143"/>
    </w:p>
    <w:tbl>
      <w:tblPr>
        <w:tblW w:w="5000" w:type="pct"/>
        <w:tblLook w:val="04A0" w:firstRow="1" w:lastRow="0" w:firstColumn="1" w:lastColumn="0" w:noHBand="0" w:noVBand="1"/>
      </w:tblPr>
      <w:tblGrid>
        <w:gridCol w:w="2127"/>
        <w:gridCol w:w="2315"/>
        <w:gridCol w:w="2315"/>
        <w:gridCol w:w="2313"/>
      </w:tblGrid>
      <w:tr w:rsidR="00853CC8" w:rsidRPr="000D39AF" w:rsidTr="00853CC8">
        <w:trPr>
          <w:trHeight w:val="300"/>
        </w:trPr>
        <w:tc>
          <w:tcPr>
            <w:tcW w:w="1173" w:type="pct"/>
            <w:tcBorders>
              <w:top w:val="single" w:sz="4" w:space="0" w:color="auto"/>
              <w:left w:val="nil"/>
              <w:bottom w:val="single" w:sz="4" w:space="0" w:color="auto"/>
              <w:right w:val="nil"/>
            </w:tcBorders>
            <w:shd w:val="clear" w:color="auto" w:fill="auto"/>
            <w:noWrap/>
            <w:vAlign w:val="bottom"/>
            <w:hideMark/>
          </w:tcPr>
          <w:p w:rsidR="00853CC8" w:rsidRPr="000D39AF" w:rsidRDefault="00853CC8" w:rsidP="00A227CC">
            <w:pPr>
              <w:pStyle w:val="TableText"/>
              <w:rPr>
                <w:b/>
              </w:rPr>
            </w:pPr>
            <w:r>
              <w:rPr>
                <w:b/>
              </w:rPr>
              <w:t>Irrigation activity</w:t>
            </w:r>
          </w:p>
        </w:tc>
        <w:tc>
          <w:tcPr>
            <w:tcW w:w="1276" w:type="pct"/>
            <w:tcBorders>
              <w:top w:val="single" w:sz="4" w:space="0" w:color="auto"/>
              <w:left w:val="nil"/>
              <w:bottom w:val="single" w:sz="4" w:space="0" w:color="auto"/>
              <w:right w:val="nil"/>
            </w:tcBorders>
            <w:shd w:val="clear" w:color="auto" w:fill="auto"/>
            <w:noWrap/>
            <w:vAlign w:val="bottom"/>
          </w:tcPr>
          <w:p w:rsidR="00853CC8" w:rsidRDefault="00853CC8" w:rsidP="00A227CC">
            <w:pPr>
              <w:pStyle w:val="TableText"/>
              <w:jc w:val="right"/>
              <w:rPr>
                <w:b/>
              </w:rPr>
            </w:pPr>
            <w:r>
              <w:rPr>
                <w:b/>
              </w:rPr>
              <w:t>Wet years</w:t>
            </w:r>
          </w:p>
          <w:p w:rsidR="00853CC8" w:rsidRPr="000D39AF" w:rsidRDefault="00853CC8" w:rsidP="00A227CC">
            <w:pPr>
              <w:pStyle w:val="TableText"/>
              <w:jc w:val="right"/>
              <w:rPr>
                <w:b/>
              </w:rPr>
            </w:pPr>
            <w:r>
              <w:rPr>
                <w:b/>
              </w:rPr>
              <w:t>(2 in 10 years)</w:t>
            </w:r>
          </w:p>
        </w:tc>
        <w:tc>
          <w:tcPr>
            <w:tcW w:w="1276" w:type="pct"/>
            <w:tcBorders>
              <w:top w:val="single" w:sz="4" w:space="0" w:color="auto"/>
              <w:left w:val="nil"/>
              <w:bottom w:val="single" w:sz="4" w:space="0" w:color="auto"/>
              <w:right w:val="nil"/>
            </w:tcBorders>
            <w:shd w:val="clear" w:color="auto" w:fill="auto"/>
            <w:noWrap/>
            <w:vAlign w:val="bottom"/>
          </w:tcPr>
          <w:p w:rsidR="00853CC8" w:rsidRDefault="00853CC8" w:rsidP="00A227CC">
            <w:pPr>
              <w:pStyle w:val="TableText"/>
              <w:jc w:val="right"/>
              <w:rPr>
                <w:b/>
              </w:rPr>
            </w:pPr>
            <w:r>
              <w:rPr>
                <w:b/>
              </w:rPr>
              <w:t>Average years</w:t>
            </w:r>
          </w:p>
          <w:p w:rsidR="00853CC8" w:rsidRPr="000D39AF" w:rsidRDefault="00853CC8" w:rsidP="00A227CC">
            <w:pPr>
              <w:pStyle w:val="TableText"/>
              <w:jc w:val="right"/>
              <w:rPr>
                <w:b/>
              </w:rPr>
            </w:pPr>
            <w:r>
              <w:rPr>
                <w:b/>
              </w:rPr>
              <w:t>(6 in 10 years)</w:t>
            </w:r>
          </w:p>
        </w:tc>
        <w:tc>
          <w:tcPr>
            <w:tcW w:w="1276" w:type="pct"/>
            <w:tcBorders>
              <w:top w:val="single" w:sz="4" w:space="0" w:color="auto"/>
              <w:left w:val="nil"/>
              <w:bottom w:val="single" w:sz="4" w:space="0" w:color="auto"/>
              <w:right w:val="nil"/>
            </w:tcBorders>
          </w:tcPr>
          <w:p w:rsidR="00853CC8" w:rsidRDefault="00853CC8" w:rsidP="00A227CC">
            <w:pPr>
              <w:pStyle w:val="TableText"/>
              <w:jc w:val="right"/>
              <w:rPr>
                <w:b/>
              </w:rPr>
            </w:pPr>
            <w:r>
              <w:rPr>
                <w:b/>
              </w:rPr>
              <w:t>Dry years</w:t>
            </w:r>
          </w:p>
          <w:p w:rsidR="00853CC8" w:rsidRDefault="00853CC8" w:rsidP="00A227CC">
            <w:pPr>
              <w:pStyle w:val="TableText"/>
              <w:jc w:val="right"/>
              <w:rPr>
                <w:b/>
              </w:rPr>
            </w:pPr>
            <w:r>
              <w:rPr>
                <w:b/>
              </w:rPr>
              <w:t>(2 in 10 years)</w:t>
            </w:r>
          </w:p>
        </w:tc>
      </w:tr>
      <w:tr w:rsidR="00853CC8" w:rsidRPr="000D39AF" w:rsidTr="00853CC8">
        <w:trPr>
          <w:trHeight w:val="300"/>
        </w:trPr>
        <w:tc>
          <w:tcPr>
            <w:tcW w:w="1173" w:type="pct"/>
            <w:tcBorders>
              <w:top w:val="single" w:sz="4" w:space="0" w:color="auto"/>
              <w:left w:val="nil"/>
              <w:bottom w:val="nil"/>
              <w:right w:val="nil"/>
            </w:tcBorders>
            <w:shd w:val="clear" w:color="auto" w:fill="auto"/>
            <w:noWrap/>
            <w:hideMark/>
          </w:tcPr>
          <w:p w:rsidR="00853CC8" w:rsidRPr="000D39AF" w:rsidRDefault="00853CC8" w:rsidP="00A227CC">
            <w:pPr>
              <w:pStyle w:val="TableText"/>
            </w:pPr>
            <w:r w:rsidRPr="009C5B22">
              <w:t>Cotton</w:t>
            </w:r>
          </w:p>
        </w:tc>
        <w:tc>
          <w:tcPr>
            <w:tcW w:w="1276" w:type="pct"/>
            <w:tcBorders>
              <w:top w:val="single" w:sz="4" w:space="0" w:color="auto"/>
              <w:left w:val="nil"/>
              <w:bottom w:val="nil"/>
              <w:right w:val="nil"/>
            </w:tcBorders>
            <w:shd w:val="clear" w:color="auto" w:fill="auto"/>
            <w:noWrap/>
          </w:tcPr>
          <w:p w:rsidR="00853CC8" w:rsidRPr="003C18F9" w:rsidRDefault="00B6238B" w:rsidP="00B6238B">
            <w:pPr>
              <w:pStyle w:val="TableText"/>
              <w:jc w:val="right"/>
            </w:pPr>
            <w:r w:rsidRPr="00B6238B">
              <w:t>521</w:t>
            </w:r>
          </w:p>
        </w:tc>
        <w:tc>
          <w:tcPr>
            <w:tcW w:w="1276" w:type="pct"/>
            <w:tcBorders>
              <w:top w:val="single" w:sz="4" w:space="0" w:color="auto"/>
              <w:left w:val="nil"/>
              <w:bottom w:val="nil"/>
              <w:right w:val="nil"/>
            </w:tcBorders>
            <w:shd w:val="clear" w:color="auto" w:fill="auto"/>
            <w:noWrap/>
          </w:tcPr>
          <w:p w:rsidR="00853CC8" w:rsidRPr="003C18F9" w:rsidRDefault="00B6238B" w:rsidP="00B6238B">
            <w:pPr>
              <w:pStyle w:val="TableText"/>
              <w:jc w:val="right"/>
            </w:pPr>
            <w:r w:rsidRPr="00B6238B">
              <w:t>407</w:t>
            </w:r>
          </w:p>
        </w:tc>
        <w:tc>
          <w:tcPr>
            <w:tcW w:w="1276" w:type="pct"/>
            <w:tcBorders>
              <w:top w:val="single" w:sz="4" w:space="0" w:color="auto"/>
              <w:left w:val="nil"/>
              <w:bottom w:val="nil"/>
              <w:right w:val="nil"/>
            </w:tcBorders>
          </w:tcPr>
          <w:p w:rsidR="00853CC8" w:rsidRPr="009C5B22" w:rsidRDefault="00B6238B" w:rsidP="00B6238B">
            <w:pPr>
              <w:pStyle w:val="TableText"/>
              <w:jc w:val="right"/>
            </w:pPr>
            <w:r w:rsidRPr="00B6238B">
              <w:t>266</w:t>
            </w:r>
          </w:p>
        </w:tc>
      </w:tr>
      <w:tr w:rsidR="00853CC8" w:rsidRPr="000D39AF" w:rsidTr="00853CC8">
        <w:trPr>
          <w:trHeight w:val="300"/>
        </w:trPr>
        <w:tc>
          <w:tcPr>
            <w:tcW w:w="1173" w:type="pct"/>
            <w:tcBorders>
              <w:top w:val="nil"/>
              <w:left w:val="nil"/>
              <w:bottom w:val="nil"/>
              <w:right w:val="nil"/>
            </w:tcBorders>
            <w:shd w:val="clear" w:color="auto" w:fill="auto"/>
            <w:noWrap/>
            <w:hideMark/>
          </w:tcPr>
          <w:p w:rsidR="00853CC8" w:rsidRPr="000D39AF" w:rsidRDefault="00853CC8" w:rsidP="00A227CC">
            <w:pPr>
              <w:pStyle w:val="TableText"/>
            </w:pPr>
            <w:r w:rsidRPr="009C5B22">
              <w:t>Rice</w:t>
            </w:r>
          </w:p>
        </w:tc>
        <w:tc>
          <w:tcPr>
            <w:tcW w:w="1276" w:type="pct"/>
            <w:tcBorders>
              <w:top w:val="nil"/>
              <w:left w:val="nil"/>
              <w:bottom w:val="nil"/>
              <w:right w:val="nil"/>
            </w:tcBorders>
            <w:shd w:val="clear" w:color="auto" w:fill="auto"/>
            <w:noWrap/>
          </w:tcPr>
          <w:p w:rsidR="00853CC8" w:rsidRPr="003C18F9" w:rsidRDefault="00853CC8" w:rsidP="00B6238B">
            <w:pPr>
              <w:pStyle w:val="TableText"/>
              <w:jc w:val="right"/>
            </w:pPr>
            <w:r w:rsidRPr="00853CC8">
              <w:t>808</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rsidRPr="00B6238B">
              <w:t>461</w:t>
            </w:r>
          </w:p>
        </w:tc>
        <w:tc>
          <w:tcPr>
            <w:tcW w:w="1276" w:type="pct"/>
            <w:tcBorders>
              <w:top w:val="nil"/>
              <w:left w:val="nil"/>
              <w:bottom w:val="nil"/>
              <w:right w:val="nil"/>
            </w:tcBorders>
          </w:tcPr>
          <w:p w:rsidR="00853CC8" w:rsidRPr="009C5B22" w:rsidRDefault="00B6238B" w:rsidP="00B6238B">
            <w:pPr>
              <w:pStyle w:val="TableText"/>
              <w:jc w:val="right"/>
            </w:pPr>
            <w:r w:rsidRPr="00B6238B">
              <w:t>101</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rsidRPr="009C5B22">
              <w:t>Dairy</w:t>
            </w:r>
          </w:p>
        </w:tc>
        <w:tc>
          <w:tcPr>
            <w:tcW w:w="1276" w:type="pct"/>
            <w:tcBorders>
              <w:top w:val="nil"/>
              <w:left w:val="nil"/>
              <w:bottom w:val="nil"/>
              <w:right w:val="nil"/>
            </w:tcBorders>
            <w:shd w:val="clear" w:color="auto" w:fill="auto"/>
            <w:noWrap/>
          </w:tcPr>
          <w:p w:rsidR="00853CC8" w:rsidRPr="003C18F9" w:rsidRDefault="00853CC8" w:rsidP="00B6238B">
            <w:pPr>
              <w:pStyle w:val="TableText"/>
              <w:jc w:val="right"/>
            </w:pPr>
            <w:r w:rsidRPr="00853CC8">
              <w:t>746</w:t>
            </w:r>
          </w:p>
        </w:tc>
        <w:tc>
          <w:tcPr>
            <w:tcW w:w="1276" w:type="pct"/>
            <w:tcBorders>
              <w:top w:val="nil"/>
              <w:left w:val="nil"/>
              <w:bottom w:val="nil"/>
              <w:right w:val="nil"/>
            </w:tcBorders>
            <w:shd w:val="clear" w:color="auto" w:fill="auto"/>
            <w:noWrap/>
          </w:tcPr>
          <w:p w:rsidR="00853CC8" w:rsidRPr="003C18F9" w:rsidRDefault="00853CC8" w:rsidP="00B6238B">
            <w:pPr>
              <w:pStyle w:val="TableText"/>
              <w:jc w:val="right"/>
            </w:pPr>
            <w:r w:rsidRPr="00853CC8">
              <w:t>498</w:t>
            </w:r>
          </w:p>
        </w:tc>
        <w:tc>
          <w:tcPr>
            <w:tcW w:w="1276" w:type="pct"/>
            <w:tcBorders>
              <w:top w:val="nil"/>
              <w:left w:val="nil"/>
              <w:bottom w:val="nil"/>
              <w:right w:val="nil"/>
            </w:tcBorders>
          </w:tcPr>
          <w:p w:rsidR="00853CC8" w:rsidRPr="009C5B22" w:rsidRDefault="00853CC8" w:rsidP="00B6238B">
            <w:pPr>
              <w:pStyle w:val="TableText"/>
              <w:jc w:val="right"/>
            </w:pPr>
            <w:r w:rsidRPr="00853CC8">
              <w:t>193</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rsidRPr="009C5B22">
              <w:t>Almonds</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t>442</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t>442</w:t>
            </w:r>
          </w:p>
        </w:tc>
        <w:tc>
          <w:tcPr>
            <w:tcW w:w="1276" w:type="pct"/>
            <w:tcBorders>
              <w:top w:val="nil"/>
              <w:left w:val="nil"/>
              <w:bottom w:val="nil"/>
              <w:right w:val="nil"/>
            </w:tcBorders>
          </w:tcPr>
          <w:p w:rsidR="00853CC8" w:rsidRPr="009C5B22" w:rsidRDefault="00B6238B" w:rsidP="00B6238B">
            <w:pPr>
              <w:pStyle w:val="TableText"/>
              <w:jc w:val="right"/>
            </w:pPr>
            <w:r>
              <w:t>442</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rsidRPr="009C5B22">
              <w:t>Fruit</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rsidRPr="00B6238B">
              <w:t>314</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rsidRPr="00B6238B">
              <w:t>302</w:t>
            </w:r>
          </w:p>
        </w:tc>
        <w:tc>
          <w:tcPr>
            <w:tcW w:w="1276" w:type="pct"/>
            <w:tcBorders>
              <w:top w:val="nil"/>
              <w:left w:val="nil"/>
              <w:bottom w:val="nil"/>
              <w:right w:val="nil"/>
            </w:tcBorders>
          </w:tcPr>
          <w:p w:rsidR="00853CC8" w:rsidRPr="009C5B22" w:rsidRDefault="00B6238B" w:rsidP="00B6238B">
            <w:pPr>
              <w:pStyle w:val="TableText"/>
              <w:jc w:val="right"/>
            </w:pPr>
            <w:r w:rsidRPr="00B6238B">
              <w:t>271</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rsidRPr="009C5B22">
              <w:t>Grapevines</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rsidRPr="00B6238B">
              <w:t>413</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rsidRPr="00B6238B">
              <w:t>367</w:t>
            </w:r>
          </w:p>
        </w:tc>
        <w:tc>
          <w:tcPr>
            <w:tcW w:w="1276" w:type="pct"/>
            <w:tcBorders>
              <w:top w:val="nil"/>
              <w:left w:val="nil"/>
              <w:bottom w:val="nil"/>
              <w:right w:val="nil"/>
            </w:tcBorders>
          </w:tcPr>
          <w:p w:rsidR="00853CC8" w:rsidRDefault="00B6238B" w:rsidP="00B6238B">
            <w:pPr>
              <w:pStyle w:val="TableText"/>
              <w:jc w:val="right"/>
            </w:pPr>
            <w:r w:rsidRPr="00B6238B">
              <w:t>301</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rsidRPr="009C5B22">
              <w:t>Vegetables</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rsidRPr="00B6238B">
              <w:t>79</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t>78</w:t>
            </w:r>
          </w:p>
        </w:tc>
        <w:tc>
          <w:tcPr>
            <w:tcW w:w="1276" w:type="pct"/>
            <w:tcBorders>
              <w:top w:val="nil"/>
              <w:left w:val="nil"/>
              <w:bottom w:val="nil"/>
              <w:right w:val="nil"/>
            </w:tcBorders>
          </w:tcPr>
          <w:p w:rsidR="00853CC8" w:rsidRPr="009C5B22" w:rsidRDefault="00B6238B" w:rsidP="00B6238B">
            <w:pPr>
              <w:pStyle w:val="TableText"/>
              <w:jc w:val="right"/>
            </w:pPr>
            <w:r>
              <w:t>74</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t>Pastures – grazing</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t>393</w:t>
            </w:r>
          </w:p>
        </w:tc>
        <w:tc>
          <w:tcPr>
            <w:tcW w:w="1276" w:type="pct"/>
            <w:tcBorders>
              <w:top w:val="nil"/>
              <w:left w:val="nil"/>
              <w:bottom w:val="nil"/>
              <w:right w:val="nil"/>
            </w:tcBorders>
            <w:shd w:val="clear" w:color="auto" w:fill="auto"/>
            <w:noWrap/>
          </w:tcPr>
          <w:p w:rsidR="00853CC8" w:rsidRPr="003C18F9" w:rsidRDefault="00B6238B" w:rsidP="00B6238B">
            <w:pPr>
              <w:pStyle w:val="TableText"/>
              <w:jc w:val="right"/>
            </w:pPr>
            <w:r>
              <w:t>258</w:t>
            </w:r>
          </w:p>
        </w:tc>
        <w:tc>
          <w:tcPr>
            <w:tcW w:w="1276" w:type="pct"/>
            <w:tcBorders>
              <w:top w:val="nil"/>
              <w:left w:val="nil"/>
              <w:bottom w:val="nil"/>
              <w:right w:val="nil"/>
            </w:tcBorders>
          </w:tcPr>
          <w:p w:rsidR="00853CC8" w:rsidRPr="009C5B22" w:rsidRDefault="00B6238B" w:rsidP="00B6238B">
            <w:pPr>
              <w:pStyle w:val="TableText"/>
              <w:jc w:val="right"/>
            </w:pPr>
            <w:r>
              <w:t>88</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Default="00853CC8" w:rsidP="00A227CC">
            <w:pPr>
              <w:pStyle w:val="TableText"/>
            </w:pPr>
            <w:r>
              <w:t>Pastures – hay</w:t>
            </w:r>
          </w:p>
        </w:tc>
        <w:tc>
          <w:tcPr>
            <w:tcW w:w="1276" w:type="pct"/>
            <w:tcBorders>
              <w:top w:val="nil"/>
              <w:left w:val="nil"/>
              <w:bottom w:val="nil"/>
              <w:right w:val="nil"/>
            </w:tcBorders>
            <w:shd w:val="clear" w:color="auto" w:fill="auto"/>
            <w:noWrap/>
          </w:tcPr>
          <w:p w:rsidR="00853CC8" w:rsidRPr="000A3BF9" w:rsidRDefault="00B6238B" w:rsidP="00B6238B">
            <w:pPr>
              <w:pStyle w:val="TableText"/>
              <w:jc w:val="right"/>
            </w:pPr>
            <w:r>
              <w:t>372</w:t>
            </w:r>
          </w:p>
        </w:tc>
        <w:tc>
          <w:tcPr>
            <w:tcW w:w="1276" w:type="pct"/>
            <w:tcBorders>
              <w:top w:val="nil"/>
              <w:left w:val="nil"/>
              <w:bottom w:val="nil"/>
              <w:right w:val="nil"/>
            </w:tcBorders>
            <w:shd w:val="clear" w:color="auto" w:fill="auto"/>
            <w:noWrap/>
          </w:tcPr>
          <w:p w:rsidR="00853CC8" w:rsidRPr="000A3BF9" w:rsidRDefault="00D47493" w:rsidP="00B6238B">
            <w:pPr>
              <w:pStyle w:val="TableText"/>
              <w:jc w:val="right"/>
            </w:pPr>
            <w:r>
              <w:t>277</w:t>
            </w:r>
          </w:p>
        </w:tc>
        <w:tc>
          <w:tcPr>
            <w:tcW w:w="1276" w:type="pct"/>
            <w:tcBorders>
              <w:top w:val="nil"/>
              <w:left w:val="nil"/>
              <w:bottom w:val="nil"/>
              <w:right w:val="nil"/>
            </w:tcBorders>
          </w:tcPr>
          <w:p w:rsidR="00853CC8" w:rsidRPr="009C5B22" w:rsidRDefault="00D47493" w:rsidP="00B6238B">
            <w:pPr>
              <w:pStyle w:val="TableText"/>
              <w:jc w:val="right"/>
            </w:pPr>
            <w:r>
              <w:t>158</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Default="00853CC8" w:rsidP="00A227CC">
            <w:pPr>
              <w:pStyle w:val="TableText"/>
            </w:pPr>
            <w:r>
              <w:t>Other broadacre</w:t>
            </w:r>
          </w:p>
        </w:tc>
        <w:tc>
          <w:tcPr>
            <w:tcW w:w="1276" w:type="pct"/>
            <w:tcBorders>
              <w:top w:val="nil"/>
              <w:left w:val="nil"/>
              <w:bottom w:val="nil"/>
              <w:right w:val="nil"/>
            </w:tcBorders>
            <w:shd w:val="clear" w:color="auto" w:fill="auto"/>
            <w:noWrap/>
          </w:tcPr>
          <w:p w:rsidR="00853CC8" w:rsidRPr="000A3BF9" w:rsidRDefault="00D47493" w:rsidP="00B6238B">
            <w:pPr>
              <w:pStyle w:val="TableText"/>
              <w:jc w:val="right"/>
            </w:pPr>
            <w:r>
              <w:t>72</w:t>
            </w:r>
          </w:p>
        </w:tc>
        <w:tc>
          <w:tcPr>
            <w:tcW w:w="1276" w:type="pct"/>
            <w:tcBorders>
              <w:top w:val="nil"/>
              <w:left w:val="nil"/>
              <w:bottom w:val="nil"/>
              <w:right w:val="nil"/>
            </w:tcBorders>
            <w:shd w:val="clear" w:color="auto" w:fill="auto"/>
            <w:noWrap/>
          </w:tcPr>
          <w:p w:rsidR="00853CC8" w:rsidRPr="000A3BF9" w:rsidRDefault="00D47493" w:rsidP="00B6238B">
            <w:pPr>
              <w:pStyle w:val="TableText"/>
              <w:jc w:val="right"/>
            </w:pPr>
            <w:r>
              <w:t>41</w:t>
            </w:r>
          </w:p>
        </w:tc>
        <w:tc>
          <w:tcPr>
            <w:tcW w:w="1276" w:type="pct"/>
            <w:tcBorders>
              <w:top w:val="nil"/>
              <w:left w:val="nil"/>
              <w:bottom w:val="nil"/>
              <w:right w:val="nil"/>
            </w:tcBorders>
          </w:tcPr>
          <w:p w:rsidR="00853CC8" w:rsidRPr="009C5B22" w:rsidRDefault="00D47493" w:rsidP="00B6238B">
            <w:pPr>
              <w:pStyle w:val="TableText"/>
              <w:jc w:val="right"/>
            </w:pPr>
            <w:r>
              <w:t>2</w:t>
            </w:r>
          </w:p>
        </w:tc>
      </w:tr>
      <w:tr w:rsidR="00853CC8" w:rsidRPr="000D39AF" w:rsidTr="00853CC8">
        <w:trPr>
          <w:trHeight w:val="300"/>
        </w:trPr>
        <w:tc>
          <w:tcPr>
            <w:tcW w:w="1173" w:type="pct"/>
            <w:tcBorders>
              <w:top w:val="nil"/>
              <w:left w:val="nil"/>
              <w:bottom w:val="nil"/>
              <w:right w:val="nil"/>
            </w:tcBorders>
            <w:shd w:val="clear" w:color="auto" w:fill="auto"/>
            <w:noWrap/>
          </w:tcPr>
          <w:p w:rsidR="00853CC8" w:rsidRPr="000D39AF" w:rsidRDefault="00853CC8" w:rsidP="00A227CC">
            <w:pPr>
              <w:pStyle w:val="TableText"/>
            </w:pPr>
            <w:r>
              <w:t>Other cereals</w:t>
            </w:r>
          </w:p>
        </w:tc>
        <w:tc>
          <w:tcPr>
            <w:tcW w:w="1276" w:type="pct"/>
            <w:tcBorders>
              <w:top w:val="nil"/>
              <w:left w:val="nil"/>
              <w:bottom w:val="nil"/>
              <w:right w:val="nil"/>
            </w:tcBorders>
            <w:shd w:val="clear" w:color="auto" w:fill="auto"/>
            <w:noWrap/>
          </w:tcPr>
          <w:p w:rsidR="00853CC8" w:rsidRPr="003C18F9" w:rsidRDefault="00D47493" w:rsidP="00B6238B">
            <w:pPr>
              <w:pStyle w:val="TableText"/>
              <w:jc w:val="right"/>
            </w:pPr>
            <w:r>
              <w:t>483</w:t>
            </w:r>
          </w:p>
        </w:tc>
        <w:tc>
          <w:tcPr>
            <w:tcW w:w="1276" w:type="pct"/>
            <w:tcBorders>
              <w:top w:val="nil"/>
              <w:left w:val="nil"/>
              <w:bottom w:val="nil"/>
              <w:right w:val="nil"/>
            </w:tcBorders>
            <w:shd w:val="clear" w:color="auto" w:fill="auto"/>
            <w:noWrap/>
          </w:tcPr>
          <w:p w:rsidR="00853CC8" w:rsidRPr="003C18F9" w:rsidRDefault="00D47493" w:rsidP="00B6238B">
            <w:pPr>
              <w:pStyle w:val="TableText"/>
              <w:jc w:val="right"/>
            </w:pPr>
            <w:r>
              <w:t>336</w:t>
            </w:r>
          </w:p>
        </w:tc>
        <w:tc>
          <w:tcPr>
            <w:tcW w:w="1276" w:type="pct"/>
            <w:tcBorders>
              <w:top w:val="nil"/>
              <w:left w:val="nil"/>
              <w:bottom w:val="nil"/>
              <w:right w:val="nil"/>
            </w:tcBorders>
          </w:tcPr>
          <w:p w:rsidR="00853CC8" w:rsidRPr="009C5B22" w:rsidRDefault="00D47493" w:rsidP="00B6238B">
            <w:pPr>
              <w:pStyle w:val="TableText"/>
              <w:jc w:val="right"/>
            </w:pPr>
            <w:r>
              <w:t>118</w:t>
            </w:r>
          </w:p>
        </w:tc>
      </w:tr>
      <w:tr w:rsidR="00B6238B" w:rsidRPr="000D39AF" w:rsidTr="00853CC8">
        <w:trPr>
          <w:trHeight w:val="300"/>
        </w:trPr>
        <w:tc>
          <w:tcPr>
            <w:tcW w:w="1173" w:type="pct"/>
            <w:tcBorders>
              <w:top w:val="nil"/>
              <w:left w:val="nil"/>
              <w:bottom w:val="nil"/>
              <w:right w:val="nil"/>
            </w:tcBorders>
            <w:shd w:val="clear" w:color="auto" w:fill="auto"/>
            <w:noWrap/>
          </w:tcPr>
          <w:p w:rsidR="00B6238B" w:rsidRDefault="00B6238B" w:rsidP="00A227CC">
            <w:pPr>
              <w:pStyle w:val="TableText"/>
            </w:pPr>
            <w:r>
              <w:t>Other crops</w:t>
            </w:r>
          </w:p>
        </w:tc>
        <w:tc>
          <w:tcPr>
            <w:tcW w:w="1276" w:type="pct"/>
            <w:tcBorders>
              <w:top w:val="nil"/>
              <w:left w:val="nil"/>
              <w:bottom w:val="nil"/>
              <w:right w:val="nil"/>
            </w:tcBorders>
            <w:shd w:val="clear" w:color="auto" w:fill="auto"/>
            <w:noWrap/>
          </w:tcPr>
          <w:p w:rsidR="00B6238B" w:rsidRPr="003C18F9" w:rsidRDefault="00D47493" w:rsidP="00B6238B">
            <w:pPr>
              <w:pStyle w:val="TableText"/>
              <w:jc w:val="right"/>
            </w:pPr>
            <w:r>
              <w:t>14</w:t>
            </w:r>
          </w:p>
        </w:tc>
        <w:tc>
          <w:tcPr>
            <w:tcW w:w="1276" w:type="pct"/>
            <w:tcBorders>
              <w:top w:val="nil"/>
              <w:left w:val="nil"/>
              <w:bottom w:val="nil"/>
              <w:right w:val="nil"/>
            </w:tcBorders>
            <w:shd w:val="clear" w:color="auto" w:fill="auto"/>
            <w:noWrap/>
          </w:tcPr>
          <w:p w:rsidR="00B6238B" w:rsidRPr="003C18F9" w:rsidRDefault="00D47493" w:rsidP="00B6238B">
            <w:pPr>
              <w:pStyle w:val="TableText"/>
              <w:jc w:val="right"/>
            </w:pPr>
            <w:r>
              <w:t>9</w:t>
            </w:r>
          </w:p>
        </w:tc>
        <w:tc>
          <w:tcPr>
            <w:tcW w:w="1276" w:type="pct"/>
            <w:tcBorders>
              <w:top w:val="nil"/>
              <w:left w:val="nil"/>
              <w:bottom w:val="nil"/>
              <w:right w:val="nil"/>
            </w:tcBorders>
          </w:tcPr>
          <w:p w:rsidR="00B6238B" w:rsidRPr="009C5B22" w:rsidRDefault="00D47493" w:rsidP="00B6238B">
            <w:pPr>
              <w:pStyle w:val="TableText"/>
              <w:jc w:val="right"/>
            </w:pPr>
            <w:r>
              <w:t>1</w:t>
            </w:r>
          </w:p>
        </w:tc>
      </w:tr>
      <w:tr w:rsidR="00853CC8" w:rsidRPr="000D39AF" w:rsidTr="00853CC8">
        <w:trPr>
          <w:trHeight w:val="300"/>
        </w:trPr>
        <w:tc>
          <w:tcPr>
            <w:tcW w:w="1173" w:type="pct"/>
            <w:tcBorders>
              <w:top w:val="nil"/>
              <w:left w:val="nil"/>
              <w:bottom w:val="single" w:sz="4" w:space="0" w:color="auto"/>
              <w:right w:val="nil"/>
            </w:tcBorders>
            <w:shd w:val="clear" w:color="auto" w:fill="auto"/>
            <w:noWrap/>
          </w:tcPr>
          <w:p w:rsidR="00853CC8" w:rsidRPr="00853CC8" w:rsidRDefault="00853CC8" w:rsidP="00A227CC">
            <w:pPr>
              <w:pStyle w:val="TableText"/>
              <w:rPr>
                <w:b/>
              </w:rPr>
            </w:pPr>
            <w:r w:rsidRPr="00853CC8">
              <w:rPr>
                <w:b/>
              </w:rPr>
              <w:t>All irrigation activities</w:t>
            </w:r>
          </w:p>
        </w:tc>
        <w:tc>
          <w:tcPr>
            <w:tcW w:w="1276" w:type="pct"/>
            <w:tcBorders>
              <w:top w:val="nil"/>
              <w:left w:val="nil"/>
              <w:bottom w:val="single" w:sz="4" w:space="0" w:color="auto"/>
              <w:right w:val="nil"/>
            </w:tcBorders>
            <w:shd w:val="clear" w:color="auto" w:fill="auto"/>
            <w:noWrap/>
          </w:tcPr>
          <w:p w:rsidR="00853CC8" w:rsidRPr="00853CC8" w:rsidRDefault="00853CC8" w:rsidP="00A227CC">
            <w:pPr>
              <w:pStyle w:val="TableText"/>
              <w:jc w:val="right"/>
              <w:rPr>
                <w:b/>
              </w:rPr>
            </w:pPr>
            <w:r w:rsidRPr="00853CC8">
              <w:rPr>
                <w:b/>
              </w:rPr>
              <w:t>4,385</w:t>
            </w:r>
          </w:p>
        </w:tc>
        <w:tc>
          <w:tcPr>
            <w:tcW w:w="1276" w:type="pct"/>
            <w:tcBorders>
              <w:top w:val="nil"/>
              <w:left w:val="nil"/>
              <w:bottom w:val="single" w:sz="4" w:space="0" w:color="auto"/>
              <w:right w:val="nil"/>
            </w:tcBorders>
            <w:shd w:val="clear" w:color="auto" w:fill="auto"/>
            <w:noWrap/>
          </w:tcPr>
          <w:p w:rsidR="00853CC8" w:rsidRPr="00853CC8" w:rsidRDefault="00853CC8" w:rsidP="00A227CC">
            <w:pPr>
              <w:pStyle w:val="TableText"/>
              <w:jc w:val="right"/>
              <w:rPr>
                <w:b/>
              </w:rPr>
            </w:pPr>
            <w:r w:rsidRPr="00853CC8">
              <w:rPr>
                <w:b/>
              </w:rPr>
              <w:t>3,503</w:t>
            </w:r>
          </w:p>
        </w:tc>
        <w:tc>
          <w:tcPr>
            <w:tcW w:w="1276" w:type="pct"/>
            <w:tcBorders>
              <w:top w:val="nil"/>
              <w:left w:val="nil"/>
              <w:bottom w:val="single" w:sz="4" w:space="0" w:color="auto"/>
              <w:right w:val="nil"/>
            </w:tcBorders>
          </w:tcPr>
          <w:p w:rsidR="00853CC8" w:rsidRPr="00853CC8" w:rsidRDefault="00853CC8" w:rsidP="00A227CC">
            <w:pPr>
              <w:pStyle w:val="TableText"/>
              <w:jc w:val="right"/>
              <w:rPr>
                <w:b/>
              </w:rPr>
            </w:pPr>
            <w:r w:rsidRPr="00853CC8">
              <w:rPr>
                <w:b/>
              </w:rPr>
              <w:t>2,215</w:t>
            </w:r>
          </w:p>
        </w:tc>
      </w:tr>
    </w:tbl>
    <w:p w:rsidR="00146850" w:rsidRDefault="00146850" w:rsidP="00146850"/>
    <w:p w:rsidR="00D47493" w:rsidRDefault="00D47493" w:rsidP="00D47493">
      <w:pPr>
        <w:pStyle w:val="Caption"/>
      </w:pPr>
      <w:bookmarkStart w:id="144" w:name="_Toc33629236"/>
      <w:bookmarkStart w:id="145" w:name="_Toc33629269"/>
      <w:bookmarkStart w:id="146" w:name="_Toc33712879"/>
      <w:bookmarkStart w:id="147" w:name="_Toc34318713"/>
      <w:bookmarkStart w:id="148" w:name="_Toc34735543"/>
      <w:bookmarkStart w:id="149" w:name="_Toc34735565"/>
      <w:r>
        <w:t>Table B</w:t>
      </w:r>
      <w:r>
        <w:rPr>
          <w:noProof/>
        </w:rPr>
        <w:fldChar w:fldCharType="begin"/>
      </w:r>
      <w:r>
        <w:rPr>
          <w:noProof/>
        </w:rPr>
        <w:instrText xml:space="preserve"> SEQ Table_B \* ARABIC </w:instrText>
      </w:r>
      <w:r>
        <w:rPr>
          <w:noProof/>
        </w:rPr>
        <w:fldChar w:fldCharType="separate"/>
      </w:r>
      <w:r w:rsidR="004D407F">
        <w:rPr>
          <w:noProof/>
        </w:rPr>
        <w:t>7</w:t>
      </w:r>
      <w:r>
        <w:rPr>
          <w:noProof/>
        </w:rPr>
        <w:fldChar w:fldCharType="end"/>
      </w:r>
      <w:r>
        <w:t xml:space="preserve"> Water use (GL) by activity, ‘dry’, ‘wet’ and ‘average’ years, future market</w:t>
      </w:r>
      <w:bookmarkEnd w:id="144"/>
      <w:bookmarkEnd w:id="145"/>
      <w:bookmarkEnd w:id="146"/>
      <w:bookmarkEnd w:id="147"/>
      <w:bookmarkEnd w:id="148"/>
      <w:bookmarkEnd w:id="149"/>
    </w:p>
    <w:tbl>
      <w:tblPr>
        <w:tblW w:w="5000" w:type="pct"/>
        <w:tblLook w:val="04A0" w:firstRow="1" w:lastRow="0" w:firstColumn="1" w:lastColumn="0" w:noHBand="0" w:noVBand="1"/>
      </w:tblPr>
      <w:tblGrid>
        <w:gridCol w:w="2127"/>
        <w:gridCol w:w="2315"/>
        <w:gridCol w:w="2315"/>
        <w:gridCol w:w="2313"/>
      </w:tblGrid>
      <w:tr w:rsidR="00D47493" w:rsidRPr="000D39AF" w:rsidTr="00A227CC">
        <w:trPr>
          <w:trHeight w:val="300"/>
        </w:trPr>
        <w:tc>
          <w:tcPr>
            <w:tcW w:w="1173" w:type="pct"/>
            <w:tcBorders>
              <w:top w:val="single" w:sz="4" w:space="0" w:color="auto"/>
              <w:left w:val="nil"/>
              <w:bottom w:val="single" w:sz="4" w:space="0" w:color="auto"/>
              <w:right w:val="nil"/>
            </w:tcBorders>
            <w:shd w:val="clear" w:color="auto" w:fill="auto"/>
            <w:noWrap/>
            <w:vAlign w:val="bottom"/>
            <w:hideMark/>
          </w:tcPr>
          <w:p w:rsidR="00D47493" w:rsidRPr="000D39AF" w:rsidRDefault="00D47493" w:rsidP="00A227CC">
            <w:pPr>
              <w:pStyle w:val="TableText"/>
              <w:rPr>
                <w:b/>
              </w:rPr>
            </w:pPr>
            <w:r>
              <w:rPr>
                <w:b/>
              </w:rPr>
              <w:t>Irrigation activity</w:t>
            </w:r>
          </w:p>
        </w:tc>
        <w:tc>
          <w:tcPr>
            <w:tcW w:w="1276" w:type="pct"/>
            <w:tcBorders>
              <w:top w:val="single" w:sz="4" w:space="0" w:color="auto"/>
              <w:left w:val="nil"/>
              <w:bottom w:val="single" w:sz="4" w:space="0" w:color="auto"/>
              <w:right w:val="nil"/>
            </w:tcBorders>
            <w:shd w:val="clear" w:color="auto" w:fill="auto"/>
            <w:noWrap/>
            <w:vAlign w:val="bottom"/>
          </w:tcPr>
          <w:p w:rsidR="00D47493" w:rsidRDefault="00D47493" w:rsidP="00A227CC">
            <w:pPr>
              <w:pStyle w:val="TableText"/>
              <w:jc w:val="right"/>
              <w:rPr>
                <w:b/>
              </w:rPr>
            </w:pPr>
            <w:r>
              <w:rPr>
                <w:b/>
              </w:rPr>
              <w:t>Wet years</w:t>
            </w:r>
          </w:p>
          <w:p w:rsidR="00D47493" w:rsidRPr="000D39AF" w:rsidRDefault="00D47493" w:rsidP="00A227CC">
            <w:pPr>
              <w:pStyle w:val="TableText"/>
              <w:jc w:val="right"/>
              <w:rPr>
                <w:b/>
              </w:rPr>
            </w:pPr>
            <w:r>
              <w:rPr>
                <w:b/>
              </w:rPr>
              <w:t>(2 in 10 years)</w:t>
            </w:r>
          </w:p>
        </w:tc>
        <w:tc>
          <w:tcPr>
            <w:tcW w:w="1276" w:type="pct"/>
            <w:tcBorders>
              <w:top w:val="single" w:sz="4" w:space="0" w:color="auto"/>
              <w:left w:val="nil"/>
              <w:bottom w:val="single" w:sz="4" w:space="0" w:color="auto"/>
              <w:right w:val="nil"/>
            </w:tcBorders>
            <w:shd w:val="clear" w:color="auto" w:fill="auto"/>
            <w:noWrap/>
            <w:vAlign w:val="bottom"/>
          </w:tcPr>
          <w:p w:rsidR="00D47493" w:rsidRDefault="00D47493" w:rsidP="00A227CC">
            <w:pPr>
              <w:pStyle w:val="TableText"/>
              <w:jc w:val="right"/>
              <w:rPr>
                <w:b/>
              </w:rPr>
            </w:pPr>
            <w:r>
              <w:rPr>
                <w:b/>
              </w:rPr>
              <w:t>Average years</w:t>
            </w:r>
          </w:p>
          <w:p w:rsidR="00D47493" w:rsidRPr="000D39AF" w:rsidRDefault="00D47493" w:rsidP="00A227CC">
            <w:pPr>
              <w:pStyle w:val="TableText"/>
              <w:jc w:val="right"/>
              <w:rPr>
                <w:b/>
              </w:rPr>
            </w:pPr>
            <w:r>
              <w:rPr>
                <w:b/>
              </w:rPr>
              <w:t>(6 in 10 years)</w:t>
            </w:r>
          </w:p>
        </w:tc>
        <w:tc>
          <w:tcPr>
            <w:tcW w:w="1276" w:type="pct"/>
            <w:tcBorders>
              <w:top w:val="single" w:sz="4" w:space="0" w:color="auto"/>
              <w:left w:val="nil"/>
              <w:bottom w:val="single" w:sz="4" w:space="0" w:color="auto"/>
              <w:right w:val="nil"/>
            </w:tcBorders>
          </w:tcPr>
          <w:p w:rsidR="00D47493" w:rsidRDefault="00D47493" w:rsidP="00A227CC">
            <w:pPr>
              <w:pStyle w:val="TableText"/>
              <w:jc w:val="right"/>
              <w:rPr>
                <w:b/>
              </w:rPr>
            </w:pPr>
            <w:r>
              <w:rPr>
                <w:b/>
              </w:rPr>
              <w:t>Dry years</w:t>
            </w:r>
          </w:p>
          <w:p w:rsidR="00D47493" w:rsidRDefault="00D47493" w:rsidP="00A227CC">
            <w:pPr>
              <w:pStyle w:val="TableText"/>
              <w:jc w:val="right"/>
              <w:rPr>
                <w:b/>
              </w:rPr>
            </w:pPr>
            <w:r>
              <w:rPr>
                <w:b/>
              </w:rPr>
              <w:t>(2 in 10 years)</w:t>
            </w:r>
          </w:p>
        </w:tc>
      </w:tr>
      <w:tr w:rsidR="00D47493" w:rsidRPr="000D39AF" w:rsidTr="00A227CC">
        <w:trPr>
          <w:trHeight w:val="300"/>
        </w:trPr>
        <w:tc>
          <w:tcPr>
            <w:tcW w:w="1173" w:type="pct"/>
            <w:tcBorders>
              <w:top w:val="single" w:sz="4" w:space="0" w:color="auto"/>
              <w:left w:val="nil"/>
              <w:bottom w:val="nil"/>
              <w:right w:val="nil"/>
            </w:tcBorders>
            <w:shd w:val="clear" w:color="auto" w:fill="auto"/>
            <w:noWrap/>
            <w:hideMark/>
          </w:tcPr>
          <w:p w:rsidR="00D47493" w:rsidRPr="000D39AF" w:rsidRDefault="00D47493" w:rsidP="00A227CC">
            <w:pPr>
              <w:pStyle w:val="TableText"/>
            </w:pPr>
            <w:r w:rsidRPr="009C5B22">
              <w:t>Cotton</w:t>
            </w:r>
          </w:p>
        </w:tc>
        <w:tc>
          <w:tcPr>
            <w:tcW w:w="1276" w:type="pct"/>
            <w:tcBorders>
              <w:top w:val="single" w:sz="4" w:space="0" w:color="auto"/>
              <w:left w:val="nil"/>
              <w:bottom w:val="nil"/>
              <w:right w:val="nil"/>
            </w:tcBorders>
            <w:shd w:val="clear" w:color="auto" w:fill="auto"/>
            <w:noWrap/>
          </w:tcPr>
          <w:p w:rsidR="00D47493" w:rsidRPr="003C18F9" w:rsidRDefault="00D47493" w:rsidP="00A227CC">
            <w:pPr>
              <w:pStyle w:val="TableText"/>
              <w:jc w:val="right"/>
            </w:pPr>
            <w:r>
              <w:t>491</w:t>
            </w:r>
          </w:p>
        </w:tc>
        <w:tc>
          <w:tcPr>
            <w:tcW w:w="1276" w:type="pct"/>
            <w:tcBorders>
              <w:top w:val="single" w:sz="4" w:space="0" w:color="auto"/>
              <w:left w:val="nil"/>
              <w:bottom w:val="nil"/>
              <w:right w:val="nil"/>
            </w:tcBorders>
            <w:shd w:val="clear" w:color="auto" w:fill="auto"/>
            <w:noWrap/>
          </w:tcPr>
          <w:p w:rsidR="00D47493" w:rsidRPr="003C18F9" w:rsidRDefault="00D47493" w:rsidP="00A227CC">
            <w:pPr>
              <w:pStyle w:val="TableText"/>
              <w:jc w:val="right"/>
            </w:pPr>
            <w:r>
              <w:t>385</w:t>
            </w:r>
          </w:p>
        </w:tc>
        <w:tc>
          <w:tcPr>
            <w:tcW w:w="1276" w:type="pct"/>
            <w:tcBorders>
              <w:top w:val="single" w:sz="4" w:space="0" w:color="auto"/>
              <w:left w:val="nil"/>
              <w:bottom w:val="nil"/>
              <w:right w:val="nil"/>
            </w:tcBorders>
          </w:tcPr>
          <w:p w:rsidR="00D47493" w:rsidRPr="009C5B22" w:rsidRDefault="00D47493" w:rsidP="00A227CC">
            <w:pPr>
              <w:pStyle w:val="TableText"/>
              <w:jc w:val="right"/>
            </w:pPr>
            <w:r>
              <w:t>244</w:t>
            </w:r>
          </w:p>
        </w:tc>
      </w:tr>
      <w:tr w:rsidR="00D47493" w:rsidRPr="000D39AF" w:rsidTr="00A227CC">
        <w:trPr>
          <w:trHeight w:val="300"/>
        </w:trPr>
        <w:tc>
          <w:tcPr>
            <w:tcW w:w="1173" w:type="pct"/>
            <w:tcBorders>
              <w:top w:val="nil"/>
              <w:left w:val="nil"/>
              <w:bottom w:val="nil"/>
              <w:right w:val="nil"/>
            </w:tcBorders>
            <w:shd w:val="clear" w:color="auto" w:fill="auto"/>
            <w:noWrap/>
            <w:hideMark/>
          </w:tcPr>
          <w:p w:rsidR="00D47493" w:rsidRPr="000D39AF" w:rsidRDefault="00D47493" w:rsidP="00A227CC">
            <w:pPr>
              <w:pStyle w:val="TableText"/>
            </w:pPr>
            <w:r w:rsidRPr="009C5B22">
              <w:t>Rice</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664</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401</w:t>
            </w:r>
          </w:p>
        </w:tc>
        <w:tc>
          <w:tcPr>
            <w:tcW w:w="1276" w:type="pct"/>
            <w:tcBorders>
              <w:top w:val="nil"/>
              <w:left w:val="nil"/>
              <w:bottom w:val="nil"/>
              <w:right w:val="nil"/>
            </w:tcBorders>
          </w:tcPr>
          <w:p w:rsidR="00D47493" w:rsidRPr="009C5B22" w:rsidRDefault="00D47493" w:rsidP="00A227CC">
            <w:pPr>
              <w:pStyle w:val="TableText"/>
              <w:jc w:val="right"/>
            </w:pPr>
            <w:r>
              <w:t>81</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Dairy</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665</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435</w:t>
            </w:r>
          </w:p>
        </w:tc>
        <w:tc>
          <w:tcPr>
            <w:tcW w:w="1276" w:type="pct"/>
            <w:tcBorders>
              <w:top w:val="nil"/>
              <w:left w:val="nil"/>
              <w:bottom w:val="nil"/>
              <w:right w:val="nil"/>
            </w:tcBorders>
          </w:tcPr>
          <w:p w:rsidR="00D47493" w:rsidRPr="009C5B22" w:rsidRDefault="00D47493" w:rsidP="00A227CC">
            <w:pPr>
              <w:pStyle w:val="TableText"/>
              <w:jc w:val="right"/>
            </w:pPr>
            <w:r>
              <w:t>119</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Almonds</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622</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622</w:t>
            </w:r>
          </w:p>
        </w:tc>
        <w:tc>
          <w:tcPr>
            <w:tcW w:w="1276" w:type="pct"/>
            <w:tcBorders>
              <w:top w:val="nil"/>
              <w:left w:val="nil"/>
              <w:bottom w:val="nil"/>
              <w:right w:val="nil"/>
            </w:tcBorders>
          </w:tcPr>
          <w:p w:rsidR="00D47493" w:rsidRPr="009C5B22" w:rsidRDefault="00D47493" w:rsidP="00A227CC">
            <w:pPr>
              <w:pStyle w:val="TableText"/>
              <w:jc w:val="right"/>
            </w:pPr>
            <w:r>
              <w:t>622</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Fruit</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320</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307</w:t>
            </w:r>
          </w:p>
        </w:tc>
        <w:tc>
          <w:tcPr>
            <w:tcW w:w="1276" w:type="pct"/>
            <w:tcBorders>
              <w:top w:val="nil"/>
              <w:left w:val="nil"/>
              <w:bottom w:val="nil"/>
              <w:right w:val="nil"/>
            </w:tcBorders>
          </w:tcPr>
          <w:p w:rsidR="00D47493" w:rsidRPr="009C5B22" w:rsidRDefault="00D47493" w:rsidP="00A227CC">
            <w:pPr>
              <w:pStyle w:val="TableText"/>
              <w:jc w:val="right"/>
            </w:pPr>
            <w:r>
              <w:t>276</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Grapevines</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407</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359</w:t>
            </w:r>
          </w:p>
        </w:tc>
        <w:tc>
          <w:tcPr>
            <w:tcW w:w="1276" w:type="pct"/>
            <w:tcBorders>
              <w:top w:val="nil"/>
              <w:left w:val="nil"/>
              <w:bottom w:val="nil"/>
              <w:right w:val="nil"/>
            </w:tcBorders>
          </w:tcPr>
          <w:p w:rsidR="00D47493" w:rsidRDefault="00D47493" w:rsidP="00A227CC">
            <w:pPr>
              <w:pStyle w:val="TableText"/>
              <w:jc w:val="right"/>
            </w:pPr>
            <w:r>
              <w:t>293</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Vegetables</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81</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80</w:t>
            </w:r>
          </w:p>
        </w:tc>
        <w:tc>
          <w:tcPr>
            <w:tcW w:w="1276" w:type="pct"/>
            <w:tcBorders>
              <w:top w:val="nil"/>
              <w:left w:val="nil"/>
              <w:bottom w:val="nil"/>
              <w:right w:val="nil"/>
            </w:tcBorders>
          </w:tcPr>
          <w:p w:rsidR="00D47493" w:rsidRPr="009C5B22" w:rsidRDefault="00D47493" w:rsidP="00A227CC">
            <w:pPr>
              <w:pStyle w:val="TableText"/>
              <w:jc w:val="right"/>
            </w:pPr>
            <w:r>
              <w:t>76</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t>Pastures – grazing</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354</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227</w:t>
            </w:r>
          </w:p>
        </w:tc>
        <w:tc>
          <w:tcPr>
            <w:tcW w:w="1276" w:type="pct"/>
            <w:tcBorders>
              <w:top w:val="nil"/>
              <w:left w:val="nil"/>
              <w:bottom w:val="nil"/>
              <w:right w:val="nil"/>
            </w:tcBorders>
          </w:tcPr>
          <w:p w:rsidR="00D47493" w:rsidRPr="009C5B22" w:rsidRDefault="00D47493" w:rsidP="00A227CC">
            <w:pPr>
              <w:pStyle w:val="TableText"/>
              <w:jc w:val="right"/>
            </w:pPr>
            <w:r>
              <w:t>66</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Default="00D47493" w:rsidP="00A227CC">
            <w:pPr>
              <w:pStyle w:val="TableText"/>
            </w:pPr>
            <w:r>
              <w:t>Pastures – hay</w:t>
            </w:r>
          </w:p>
        </w:tc>
        <w:tc>
          <w:tcPr>
            <w:tcW w:w="1276" w:type="pct"/>
            <w:tcBorders>
              <w:top w:val="nil"/>
              <w:left w:val="nil"/>
              <w:bottom w:val="nil"/>
              <w:right w:val="nil"/>
            </w:tcBorders>
            <w:shd w:val="clear" w:color="auto" w:fill="auto"/>
            <w:noWrap/>
          </w:tcPr>
          <w:p w:rsidR="00D47493" w:rsidRPr="000A3BF9" w:rsidRDefault="00D47493" w:rsidP="00A227CC">
            <w:pPr>
              <w:pStyle w:val="TableText"/>
              <w:jc w:val="right"/>
            </w:pPr>
            <w:r>
              <w:t>330</w:t>
            </w:r>
          </w:p>
        </w:tc>
        <w:tc>
          <w:tcPr>
            <w:tcW w:w="1276" w:type="pct"/>
            <w:tcBorders>
              <w:top w:val="nil"/>
              <w:left w:val="nil"/>
              <w:bottom w:val="nil"/>
              <w:right w:val="nil"/>
            </w:tcBorders>
            <w:shd w:val="clear" w:color="auto" w:fill="auto"/>
            <w:noWrap/>
          </w:tcPr>
          <w:p w:rsidR="00D47493" w:rsidRPr="000A3BF9" w:rsidRDefault="00D47493" w:rsidP="00A227CC">
            <w:pPr>
              <w:pStyle w:val="TableText"/>
              <w:jc w:val="right"/>
            </w:pPr>
            <w:r>
              <w:t>222</w:t>
            </w:r>
          </w:p>
        </w:tc>
        <w:tc>
          <w:tcPr>
            <w:tcW w:w="1276" w:type="pct"/>
            <w:tcBorders>
              <w:top w:val="nil"/>
              <w:left w:val="nil"/>
              <w:bottom w:val="nil"/>
              <w:right w:val="nil"/>
            </w:tcBorders>
          </w:tcPr>
          <w:p w:rsidR="00D47493" w:rsidRPr="009C5B22" w:rsidRDefault="00D47493" w:rsidP="00A227CC">
            <w:pPr>
              <w:pStyle w:val="TableText"/>
              <w:jc w:val="right"/>
            </w:pPr>
            <w:r>
              <w:t>116</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Default="00D47493" w:rsidP="00A227CC">
            <w:pPr>
              <w:pStyle w:val="TableText"/>
            </w:pPr>
            <w:r>
              <w:t>Other broadacre</w:t>
            </w:r>
          </w:p>
        </w:tc>
        <w:tc>
          <w:tcPr>
            <w:tcW w:w="1276" w:type="pct"/>
            <w:tcBorders>
              <w:top w:val="nil"/>
              <w:left w:val="nil"/>
              <w:bottom w:val="nil"/>
              <w:right w:val="nil"/>
            </w:tcBorders>
            <w:shd w:val="clear" w:color="auto" w:fill="auto"/>
            <w:noWrap/>
          </w:tcPr>
          <w:p w:rsidR="00D47493" w:rsidRPr="000A3BF9" w:rsidRDefault="00D47493" w:rsidP="00A227CC">
            <w:pPr>
              <w:pStyle w:val="TableText"/>
              <w:jc w:val="right"/>
            </w:pPr>
            <w:r>
              <w:t>58</w:t>
            </w:r>
          </w:p>
        </w:tc>
        <w:tc>
          <w:tcPr>
            <w:tcW w:w="1276" w:type="pct"/>
            <w:tcBorders>
              <w:top w:val="nil"/>
              <w:left w:val="nil"/>
              <w:bottom w:val="nil"/>
              <w:right w:val="nil"/>
            </w:tcBorders>
            <w:shd w:val="clear" w:color="auto" w:fill="auto"/>
            <w:noWrap/>
          </w:tcPr>
          <w:p w:rsidR="00D47493" w:rsidRPr="000A3BF9" w:rsidRDefault="00D47493" w:rsidP="00A227CC">
            <w:pPr>
              <w:pStyle w:val="TableText"/>
              <w:jc w:val="right"/>
            </w:pPr>
            <w:r>
              <w:t>30</w:t>
            </w:r>
          </w:p>
        </w:tc>
        <w:tc>
          <w:tcPr>
            <w:tcW w:w="1276" w:type="pct"/>
            <w:tcBorders>
              <w:top w:val="nil"/>
              <w:left w:val="nil"/>
              <w:bottom w:val="nil"/>
              <w:right w:val="nil"/>
            </w:tcBorders>
          </w:tcPr>
          <w:p w:rsidR="00D47493" w:rsidRPr="009C5B22" w:rsidRDefault="00D47493" w:rsidP="00A227CC">
            <w:pPr>
              <w:pStyle w:val="TableText"/>
              <w:jc w:val="right"/>
            </w:pPr>
            <w:r>
              <w:t>1</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t>Other cereals</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435</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296</w:t>
            </w:r>
          </w:p>
        </w:tc>
        <w:tc>
          <w:tcPr>
            <w:tcW w:w="1276" w:type="pct"/>
            <w:tcBorders>
              <w:top w:val="nil"/>
              <w:left w:val="nil"/>
              <w:bottom w:val="nil"/>
              <w:right w:val="nil"/>
            </w:tcBorders>
          </w:tcPr>
          <w:p w:rsidR="00D47493" w:rsidRPr="009C5B22" w:rsidRDefault="00D47493" w:rsidP="00A227CC">
            <w:pPr>
              <w:pStyle w:val="TableText"/>
              <w:jc w:val="right"/>
            </w:pPr>
            <w:r>
              <w:t>94</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Default="00D47493" w:rsidP="00A227CC">
            <w:pPr>
              <w:pStyle w:val="TableText"/>
            </w:pPr>
            <w:r>
              <w:t>Other crops</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11</w:t>
            </w:r>
          </w:p>
        </w:tc>
        <w:tc>
          <w:tcPr>
            <w:tcW w:w="1276" w:type="pct"/>
            <w:tcBorders>
              <w:top w:val="nil"/>
              <w:left w:val="nil"/>
              <w:bottom w:val="nil"/>
              <w:right w:val="nil"/>
            </w:tcBorders>
            <w:shd w:val="clear" w:color="auto" w:fill="auto"/>
            <w:noWrap/>
          </w:tcPr>
          <w:p w:rsidR="00D47493" w:rsidRPr="003C18F9" w:rsidRDefault="00D47493" w:rsidP="00A227CC">
            <w:pPr>
              <w:pStyle w:val="TableText"/>
              <w:jc w:val="right"/>
            </w:pPr>
            <w:r>
              <w:t>7</w:t>
            </w:r>
          </w:p>
        </w:tc>
        <w:tc>
          <w:tcPr>
            <w:tcW w:w="1276" w:type="pct"/>
            <w:tcBorders>
              <w:top w:val="nil"/>
              <w:left w:val="nil"/>
              <w:bottom w:val="nil"/>
              <w:right w:val="nil"/>
            </w:tcBorders>
          </w:tcPr>
          <w:p w:rsidR="00D47493" w:rsidRPr="009C5B22" w:rsidRDefault="00D47493" w:rsidP="00A227CC">
            <w:pPr>
              <w:pStyle w:val="TableText"/>
              <w:jc w:val="right"/>
            </w:pPr>
            <w:r>
              <w:t>1</w:t>
            </w:r>
          </w:p>
        </w:tc>
      </w:tr>
      <w:tr w:rsidR="00D47493" w:rsidRPr="000D39AF" w:rsidTr="00A227CC">
        <w:trPr>
          <w:trHeight w:val="300"/>
        </w:trPr>
        <w:tc>
          <w:tcPr>
            <w:tcW w:w="1173" w:type="pct"/>
            <w:tcBorders>
              <w:top w:val="nil"/>
              <w:left w:val="nil"/>
              <w:bottom w:val="single" w:sz="4" w:space="0" w:color="auto"/>
              <w:right w:val="nil"/>
            </w:tcBorders>
            <w:shd w:val="clear" w:color="auto" w:fill="auto"/>
            <w:noWrap/>
          </w:tcPr>
          <w:p w:rsidR="00D47493" w:rsidRPr="00853CC8" w:rsidRDefault="00D47493" w:rsidP="00A227CC">
            <w:pPr>
              <w:pStyle w:val="TableText"/>
              <w:rPr>
                <w:b/>
              </w:rPr>
            </w:pPr>
            <w:r w:rsidRPr="00853CC8">
              <w:rPr>
                <w:b/>
              </w:rPr>
              <w:t>All irrigation activities</w:t>
            </w:r>
          </w:p>
        </w:tc>
        <w:tc>
          <w:tcPr>
            <w:tcW w:w="1276" w:type="pct"/>
            <w:tcBorders>
              <w:top w:val="nil"/>
              <w:left w:val="nil"/>
              <w:bottom w:val="single" w:sz="4" w:space="0" w:color="auto"/>
              <w:right w:val="nil"/>
            </w:tcBorders>
            <w:shd w:val="clear" w:color="auto" w:fill="auto"/>
            <w:noWrap/>
          </w:tcPr>
          <w:p w:rsidR="00D47493" w:rsidRPr="00853CC8" w:rsidRDefault="00D47493" w:rsidP="00D47493">
            <w:pPr>
              <w:pStyle w:val="TableText"/>
              <w:jc w:val="right"/>
              <w:rPr>
                <w:b/>
              </w:rPr>
            </w:pPr>
            <w:r w:rsidRPr="00853CC8">
              <w:rPr>
                <w:b/>
              </w:rPr>
              <w:t>4,</w:t>
            </w:r>
            <w:r>
              <w:rPr>
                <w:b/>
              </w:rPr>
              <w:t>182</w:t>
            </w:r>
          </w:p>
        </w:tc>
        <w:tc>
          <w:tcPr>
            <w:tcW w:w="1276" w:type="pct"/>
            <w:tcBorders>
              <w:top w:val="nil"/>
              <w:left w:val="nil"/>
              <w:bottom w:val="single" w:sz="4" w:space="0" w:color="auto"/>
              <w:right w:val="nil"/>
            </w:tcBorders>
            <w:shd w:val="clear" w:color="auto" w:fill="auto"/>
            <w:noWrap/>
          </w:tcPr>
          <w:p w:rsidR="00D47493" w:rsidRPr="00853CC8" w:rsidRDefault="00D47493" w:rsidP="00A227CC">
            <w:pPr>
              <w:pStyle w:val="TableText"/>
              <w:jc w:val="right"/>
              <w:rPr>
                <w:b/>
              </w:rPr>
            </w:pPr>
            <w:r>
              <w:rPr>
                <w:b/>
              </w:rPr>
              <w:t>3,400</w:t>
            </w:r>
          </w:p>
        </w:tc>
        <w:tc>
          <w:tcPr>
            <w:tcW w:w="1276" w:type="pct"/>
            <w:tcBorders>
              <w:top w:val="nil"/>
              <w:left w:val="nil"/>
              <w:bottom w:val="single" w:sz="4" w:space="0" w:color="auto"/>
              <w:right w:val="nil"/>
            </w:tcBorders>
          </w:tcPr>
          <w:p w:rsidR="00D47493" w:rsidRPr="00853CC8" w:rsidRDefault="00D47493" w:rsidP="00A227CC">
            <w:pPr>
              <w:pStyle w:val="TableText"/>
              <w:jc w:val="right"/>
              <w:rPr>
                <w:b/>
              </w:rPr>
            </w:pPr>
            <w:r>
              <w:rPr>
                <w:b/>
              </w:rPr>
              <w:t>2,170</w:t>
            </w:r>
          </w:p>
        </w:tc>
      </w:tr>
    </w:tbl>
    <w:p w:rsidR="00D47493" w:rsidRDefault="00D47493" w:rsidP="00D47493"/>
    <w:p w:rsidR="00146850" w:rsidRDefault="00146850" w:rsidP="00146850"/>
    <w:p w:rsidR="00D47493" w:rsidRDefault="00D47493" w:rsidP="00146850"/>
    <w:p w:rsidR="00D47493" w:rsidRDefault="00D47493" w:rsidP="00146850"/>
    <w:p w:rsidR="00D47493" w:rsidRDefault="00D47493" w:rsidP="00146850"/>
    <w:p w:rsidR="00D47493" w:rsidRDefault="00D47493" w:rsidP="00146850"/>
    <w:p w:rsidR="00D47493" w:rsidRDefault="00D47493" w:rsidP="00D47493">
      <w:pPr>
        <w:pStyle w:val="Caption"/>
      </w:pPr>
      <w:bookmarkStart w:id="150" w:name="_Toc33629237"/>
      <w:bookmarkStart w:id="151" w:name="_Toc33629270"/>
      <w:bookmarkStart w:id="152" w:name="_Toc33712880"/>
      <w:bookmarkStart w:id="153" w:name="_Toc34318714"/>
      <w:bookmarkStart w:id="154" w:name="_Toc34735544"/>
      <w:bookmarkStart w:id="155" w:name="_Toc34735566"/>
      <w:r>
        <w:lastRenderedPageBreak/>
        <w:t>Table B</w:t>
      </w:r>
      <w:r>
        <w:rPr>
          <w:noProof/>
        </w:rPr>
        <w:fldChar w:fldCharType="begin"/>
      </w:r>
      <w:r>
        <w:rPr>
          <w:noProof/>
        </w:rPr>
        <w:instrText xml:space="preserve"> SEQ Table_B \* ARABIC </w:instrText>
      </w:r>
      <w:r>
        <w:rPr>
          <w:noProof/>
        </w:rPr>
        <w:fldChar w:fldCharType="separate"/>
      </w:r>
      <w:r w:rsidR="004D407F">
        <w:rPr>
          <w:noProof/>
        </w:rPr>
        <w:t>8</w:t>
      </w:r>
      <w:r>
        <w:rPr>
          <w:noProof/>
        </w:rPr>
        <w:fldChar w:fldCharType="end"/>
      </w:r>
      <w:r>
        <w:t xml:space="preserve"> Water use (GL) by activity, ‘dry’, ‘wet’ and ‘average’ years, future market (dry)</w:t>
      </w:r>
      <w:bookmarkEnd w:id="150"/>
      <w:bookmarkEnd w:id="151"/>
      <w:bookmarkEnd w:id="152"/>
      <w:bookmarkEnd w:id="153"/>
      <w:bookmarkEnd w:id="154"/>
      <w:bookmarkEnd w:id="155"/>
    </w:p>
    <w:tbl>
      <w:tblPr>
        <w:tblW w:w="5000" w:type="pct"/>
        <w:tblLook w:val="04A0" w:firstRow="1" w:lastRow="0" w:firstColumn="1" w:lastColumn="0" w:noHBand="0" w:noVBand="1"/>
      </w:tblPr>
      <w:tblGrid>
        <w:gridCol w:w="2127"/>
        <w:gridCol w:w="2315"/>
        <w:gridCol w:w="2315"/>
        <w:gridCol w:w="2313"/>
      </w:tblGrid>
      <w:tr w:rsidR="00D47493" w:rsidRPr="000D39AF" w:rsidTr="00A227CC">
        <w:trPr>
          <w:trHeight w:val="300"/>
        </w:trPr>
        <w:tc>
          <w:tcPr>
            <w:tcW w:w="1173" w:type="pct"/>
            <w:tcBorders>
              <w:top w:val="single" w:sz="4" w:space="0" w:color="auto"/>
              <w:left w:val="nil"/>
              <w:bottom w:val="single" w:sz="4" w:space="0" w:color="auto"/>
              <w:right w:val="nil"/>
            </w:tcBorders>
            <w:shd w:val="clear" w:color="auto" w:fill="auto"/>
            <w:noWrap/>
            <w:vAlign w:val="bottom"/>
            <w:hideMark/>
          </w:tcPr>
          <w:p w:rsidR="00D47493" w:rsidRPr="000D39AF" w:rsidRDefault="00D47493" w:rsidP="00A227CC">
            <w:pPr>
              <w:pStyle w:val="TableText"/>
              <w:rPr>
                <w:b/>
              </w:rPr>
            </w:pPr>
            <w:r>
              <w:rPr>
                <w:b/>
              </w:rPr>
              <w:t>Irrigation activity</w:t>
            </w:r>
          </w:p>
        </w:tc>
        <w:tc>
          <w:tcPr>
            <w:tcW w:w="1276" w:type="pct"/>
            <w:tcBorders>
              <w:top w:val="single" w:sz="4" w:space="0" w:color="auto"/>
              <w:left w:val="nil"/>
              <w:bottom w:val="single" w:sz="4" w:space="0" w:color="auto"/>
              <w:right w:val="nil"/>
            </w:tcBorders>
            <w:shd w:val="clear" w:color="auto" w:fill="auto"/>
            <w:noWrap/>
            <w:vAlign w:val="bottom"/>
          </w:tcPr>
          <w:p w:rsidR="00D47493" w:rsidRDefault="00D47493" w:rsidP="00A227CC">
            <w:pPr>
              <w:pStyle w:val="TableText"/>
              <w:jc w:val="right"/>
              <w:rPr>
                <w:b/>
              </w:rPr>
            </w:pPr>
            <w:r>
              <w:rPr>
                <w:b/>
              </w:rPr>
              <w:t>Wet years</w:t>
            </w:r>
          </w:p>
          <w:p w:rsidR="00D47493" w:rsidRPr="000D39AF" w:rsidRDefault="00D47493" w:rsidP="00A227CC">
            <w:pPr>
              <w:pStyle w:val="TableText"/>
              <w:jc w:val="right"/>
              <w:rPr>
                <w:b/>
              </w:rPr>
            </w:pPr>
            <w:r>
              <w:rPr>
                <w:b/>
              </w:rPr>
              <w:t>(2 in 10 years)</w:t>
            </w:r>
          </w:p>
        </w:tc>
        <w:tc>
          <w:tcPr>
            <w:tcW w:w="1276" w:type="pct"/>
            <w:tcBorders>
              <w:top w:val="single" w:sz="4" w:space="0" w:color="auto"/>
              <w:left w:val="nil"/>
              <w:bottom w:val="single" w:sz="4" w:space="0" w:color="auto"/>
              <w:right w:val="nil"/>
            </w:tcBorders>
            <w:shd w:val="clear" w:color="auto" w:fill="auto"/>
            <w:noWrap/>
            <w:vAlign w:val="bottom"/>
          </w:tcPr>
          <w:p w:rsidR="00D47493" w:rsidRDefault="00D47493" w:rsidP="00A227CC">
            <w:pPr>
              <w:pStyle w:val="TableText"/>
              <w:jc w:val="right"/>
              <w:rPr>
                <w:b/>
              </w:rPr>
            </w:pPr>
            <w:r>
              <w:rPr>
                <w:b/>
              </w:rPr>
              <w:t>Average years</w:t>
            </w:r>
          </w:p>
          <w:p w:rsidR="00D47493" w:rsidRPr="000D39AF" w:rsidRDefault="00D47493" w:rsidP="00A227CC">
            <w:pPr>
              <w:pStyle w:val="TableText"/>
              <w:jc w:val="right"/>
              <w:rPr>
                <w:b/>
              </w:rPr>
            </w:pPr>
            <w:r>
              <w:rPr>
                <w:b/>
              </w:rPr>
              <w:t>(6 in 10 years)</w:t>
            </w:r>
          </w:p>
        </w:tc>
        <w:tc>
          <w:tcPr>
            <w:tcW w:w="1276" w:type="pct"/>
            <w:tcBorders>
              <w:top w:val="single" w:sz="4" w:space="0" w:color="auto"/>
              <w:left w:val="nil"/>
              <w:bottom w:val="single" w:sz="4" w:space="0" w:color="auto"/>
              <w:right w:val="nil"/>
            </w:tcBorders>
          </w:tcPr>
          <w:p w:rsidR="00D47493" w:rsidRDefault="00D47493" w:rsidP="00A227CC">
            <w:pPr>
              <w:pStyle w:val="TableText"/>
              <w:jc w:val="right"/>
              <w:rPr>
                <w:b/>
              </w:rPr>
            </w:pPr>
            <w:r>
              <w:rPr>
                <w:b/>
              </w:rPr>
              <w:t>Dry years</w:t>
            </w:r>
          </w:p>
          <w:p w:rsidR="00D47493" w:rsidRDefault="00D47493" w:rsidP="00A227CC">
            <w:pPr>
              <w:pStyle w:val="TableText"/>
              <w:jc w:val="right"/>
              <w:rPr>
                <w:b/>
              </w:rPr>
            </w:pPr>
            <w:r>
              <w:rPr>
                <w:b/>
              </w:rPr>
              <w:t>(2 in 10 years)</w:t>
            </w:r>
          </w:p>
        </w:tc>
      </w:tr>
      <w:tr w:rsidR="00D47493" w:rsidRPr="000D39AF" w:rsidTr="00A227CC">
        <w:trPr>
          <w:trHeight w:val="300"/>
        </w:trPr>
        <w:tc>
          <w:tcPr>
            <w:tcW w:w="1173" w:type="pct"/>
            <w:tcBorders>
              <w:top w:val="single" w:sz="4" w:space="0" w:color="auto"/>
              <w:left w:val="nil"/>
              <w:bottom w:val="nil"/>
              <w:right w:val="nil"/>
            </w:tcBorders>
            <w:shd w:val="clear" w:color="auto" w:fill="auto"/>
            <w:noWrap/>
            <w:hideMark/>
          </w:tcPr>
          <w:p w:rsidR="00D47493" w:rsidRPr="000D39AF" w:rsidRDefault="00D47493" w:rsidP="00A227CC">
            <w:pPr>
              <w:pStyle w:val="TableText"/>
            </w:pPr>
            <w:r w:rsidRPr="009C5B22">
              <w:t>Cotton</w:t>
            </w:r>
          </w:p>
        </w:tc>
        <w:tc>
          <w:tcPr>
            <w:tcW w:w="1276" w:type="pct"/>
            <w:tcBorders>
              <w:top w:val="single" w:sz="4" w:space="0" w:color="auto"/>
              <w:left w:val="nil"/>
              <w:bottom w:val="nil"/>
              <w:right w:val="nil"/>
            </w:tcBorders>
            <w:shd w:val="clear" w:color="auto" w:fill="auto"/>
            <w:noWrap/>
          </w:tcPr>
          <w:p w:rsidR="00D47493" w:rsidRPr="003C18F9" w:rsidRDefault="00CB735C" w:rsidP="00A227CC">
            <w:pPr>
              <w:pStyle w:val="TableText"/>
              <w:jc w:val="right"/>
            </w:pPr>
            <w:r>
              <w:t>452</w:t>
            </w:r>
          </w:p>
        </w:tc>
        <w:tc>
          <w:tcPr>
            <w:tcW w:w="1276" w:type="pct"/>
            <w:tcBorders>
              <w:top w:val="single" w:sz="4" w:space="0" w:color="auto"/>
              <w:left w:val="nil"/>
              <w:bottom w:val="nil"/>
              <w:right w:val="nil"/>
            </w:tcBorders>
            <w:shd w:val="clear" w:color="auto" w:fill="auto"/>
            <w:noWrap/>
          </w:tcPr>
          <w:p w:rsidR="00D47493" w:rsidRPr="003C18F9" w:rsidRDefault="00CB735C" w:rsidP="00A227CC">
            <w:pPr>
              <w:pStyle w:val="TableText"/>
              <w:jc w:val="right"/>
            </w:pPr>
            <w:r>
              <w:t>352</w:t>
            </w:r>
          </w:p>
        </w:tc>
        <w:tc>
          <w:tcPr>
            <w:tcW w:w="1276" w:type="pct"/>
            <w:tcBorders>
              <w:top w:val="single" w:sz="4" w:space="0" w:color="auto"/>
              <w:left w:val="nil"/>
              <w:bottom w:val="nil"/>
              <w:right w:val="nil"/>
            </w:tcBorders>
          </w:tcPr>
          <w:p w:rsidR="00D47493" w:rsidRPr="009C5B22" w:rsidRDefault="00CB735C" w:rsidP="00A227CC">
            <w:pPr>
              <w:pStyle w:val="TableText"/>
              <w:jc w:val="right"/>
            </w:pPr>
            <w:r>
              <w:t>215</w:t>
            </w:r>
          </w:p>
        </w:tc>
      </w:tr>
      <w:tr w:rsidR="00D47493" w:rsidRPr="000D39AF" w:rsidTr="00A227CC">
        <w:trPr>
          <w:trHeight w:val="300"/>
        </w:trPr>
        <w:tc>
          <w:tcPr>
            <w:tcW w:w="1173" w:type="pct"/>
            <w:tcBorders>
              <w:top w:val="nil"/>
              <w:left w:val="nil"/>
              <w:bottom w:val="nil"/>
              <w:right w:val="nil"/>
            </w:tcBorders>
            <w:shd w:val="clear" w:color="auto" w:fill="auto"/>
            <w:noWrap/>
            <w:hideMark/>
          </w:tcPr>
          <w:p w:rsidR="00D47493" w:rsidRPr="000D39AF" w:rsidRDefault="00D47493" w:rsidP="00A227CC">
            <w:pPr>
              <w:pStyle w:val="TableText"/>
            </w:pPr>
            <w:r w:rsidRPr="009C5B22">
              <w:t>Rice</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543</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329</w:t>
            </w:r>
          </w:p>
        </w:tc>
        <w:tc>
          <w:tcPr>
            <w:tcW w:w="1276" w:type="pct"/>
            <w:tcBorders>
              <w:top w:val="nil"/>
              <w:left w:val="nil"/>
              <w:bottom w:val="nil"/>
              <w:right w:val="nil"/>
            </w:tcBorders>
          </w:tcPr>
          <w:p w:rsidR="00D47493" w:rsidRPr="009C5B22" w:rsidRDefault="00CB735C" w:rsidP="00A227CC">
            <w:pPr>
              <w:pStyle w:val="TableText"/>
              <w:jc w:val="right"/>
            </w:pPr>
            <w:r>
              <w:t>59</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Dairy</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603</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382</w:t>
            </w:r>
          </w:p>
        </w:tc>
        <w:tc>
          <w:tcPr>
            <w:tcW w:w="1276" w:type="pct"/>
            <w:tcBorders>
              <w:top w:val="nil"/>
              <w:left w:val="nil"/>
              <w:bottom w:val="nil"/>
              <w:right w:val="nil"/>
            </w:tcBorders>
          </w:tcPr>
          <w:p w:rsidR="00D47493" w:rsidRPr="009C5B22" w:rsidRDefault="00CB735C" w:rsidP="00A227CC">
            <w:pPr>
              <w:pStyle w:val="TableText"/>
              <w:jc w:val="right"/>
            </w:pPr>
            <w:r>
              <w:t>101</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Almonds</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622</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622</w:t>
            </w:r>
          </w:p>
        </w:tc>
        <w:tc>
          <w:tcPr>
            <w:tcW w:w="1276" w:type="pct"/>
            <w:tcBorders>
              <w:top w:val="nil"/>
              <w:left w:val="nil"/>
              <w:bottom w:val="nil"/>
              <w:right w:val="nil"/>
            </w:tcBorders>
          </w:tcPr>
          <w:p w:rsidR="00D47493" w:rsidRPr="009C5B22" w:rsidRDefault="00CB735C" w:rsidP="00A227CC">
            <w:pPr>
              <w:pStyle w:val="TableText"/>
              <w:jc w:val="right"/>
            </w:pPr>
            <w:r>
              <w:t>622</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Fruit</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320</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308</w:t>
            </w:r>
          </w:p>
        </w:tc>
        <w:tc>
          <w:tcPr>
            <w:tcW w:w="1276" w:type="pct"/>
            <w:tcBorders>
              <w:top w:val="nil"/>
              <w:left w:val="nil"/>
              <w:bottom w:val="nil"/>
              <w:right w:val="nil"/>
            </w:tcBorders>
          </w:tcPr>
          <w:p w:rsidR="00D47493" w:rsidRPr="009C5B22" w:rsidRDefault="00CB735C" w:rsidP="00A227CC">
            <w:pPr>
              <w:pStyle w:val="TableText"/>
              <w:jc w:val="right"/>
            </w:pPr>
            <w:r>
              <w:t>277</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Grapevines</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399</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351</w:t>
            </w:r>
          </w:p>
        </w:tc>
        <w:tc>
          <w:tcPr>
            <w:tcW w:w="1276" w:type="pct"/>
            <w:tcBorders>
              <w:top w:val="nil"/>
              <w:left w:val="nil"/>
              <w:bottom w:val="nil"/>
              <w:right w:val="nil"/>
            </w:tcBorders>
          </w:tcPr>
          <w:p w:rsidR="00D47493" w:rsidRDefault="00CB735C" w:rsidP="00A227CC">
            <w:pPr>
              <w:pStyle w:val="TableText"/>
              <w:jc w:val="right"/>
            </w:pPr>
            <w:r>
              <w:t>281</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rsidRPr="009C5B22">
              <w:t>Vegetables</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81</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80</w:t>
            </w:r>
          </w:p>
        </w:tc>
        <w:tc>
          <w:tcPr>
            <w:tcW w:w="1276" w:type="pct"/>
            <w:tcBorders>
              <w:top w:val="nil"/>
              <w:left w:val="nil"/>
              <w:bottom w:val="nil"/>
              <w:right w:val="nil"/>
            </w:tcBorders>
          </w:tcPr>
          <w:p w:rsidR="00D47493" w:rsidRPr="009C5B22" w:rsidRDefault="00CB735C" w:rsidP="00A227CC">
            <w:pPr>
              <w:pStyle w:val="TableText"/>
              <w:jc w:val="right"/>
            </w:pPr>
            <w:r>
              <w:t>76</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t>Pastures – grazing</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316</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195</w:t>
            </w:r>
          </w:p>
        </w:tc>
        <w:tc>
          <w:tcPr>
            <w:tcW w:w="1276" w:type="pct"/>
            <w:tcBorders>
              <w:top w:val="nil"/>
              <w:left w:val="nil"/>
              <w:bottom w:val="nil"/>
              <w:right w:val="nil"/>
            </w:tcBorders>
          </w:tcPr>
          <w:p w:rsidR="00D47493" w:rsidRPr="009C5B22" w:rsidRDefault="00CB735C" w:rsidP="00A227CC">
            <w:pPr>
              <w:pStyle w:val="TableText"/>
              <w:jc w:val="right"/>
            </w:pPr>
            <w:r>
              <w:t>59</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Default="00D47493" w:rsidP="00A227CC">
            <w:pPr>
              <w:pStyle w:val="TableText"/>
            </w:pPr>
            <w:r>
              <w:t>Pastures – hay</w:t>
            </w:r>
          </w:p>
        </w:tc>
        <w:tc>
          <w:tcPr>
            <w:tcW w:w="1276" w:type="pct"/>
            <w:tcBorders>
              <w:top w:val="nil"/>
              <w:left w:val="nil"/>
              <w:bottom w:val="nil"/>
              <w:right w:val="nil"/>
            </w:tcBorders>
            <w:shd w:val="clear" w:color="auto" w:fill="auto"/>
            <w:noWrap/>
          </w:tcPr>
          <w:p w:rsidR="00D47493" w:rsidRPr="000A3BF9" w:rsidRDefault="00CB735C" w:rsidP="00A227CC">
            <w:pPr>
              <w:pStyle w:val="TableText"/>
              <w:jc w:val="right"/>
            </w:pPr>
            <w:r>
              <w:t>292</w:t>
            </w:r>
          </w:p>
        </w:tc>
        <w:tc>
          <w:tcPr>
            <w:tcW w:w="1276" w:type="pct"/>
            <w:tcBorders>
              <w:top w:val="nil"/>
              <w:left w:val="nil"/>
              <w:bottom w:val="nil"/>
              <w:right w:val="nil"/>
            </w:tcBorders>
            <w:shd w:val="clear" w:color="auto" w:fill="auto"/>
            <w:noWrap/>
          </w:tcPr>
          <w:p w:rsidR="00D47493" w:rsidRPr="000A3BF9" w:rsidRDefault="00CB735C" w:rsidP="00A227CC">
            <w:pPr>
              <w:pStyle w:val="TableText"/>
              <w:jc w:val="right"/>
            </w:pPr>
            <w:r>
              <w:t>175</w:t>
            </w:r>
          </w:p>
        </w:tc>
        <w:tc>
          <w:tcPr>
            <w:tcW w:w="1276" w:type="pct"/>
            <w:tcBorders>
              <w:top w:val="nil"/>
              <w:left w:val="nil"/>
              <w:bottom w:val="nil"/>
              <w:right w:val="nil"/>
            </w:tcBorders>
          </w:tcPr>
          <w:p w:rsidR="00D47493" w:rsidRPr="009C5B22" w:rsidRDefault="00CB735C" w:rsidP="00A227CC">
            <w:pPr>
              <w:pStyle w:val="TableText"/>
              <w:jc w:val="right"/>
            </w:pPr>
            <w:r>
              <w:t>76</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Default="00D47493" w:rsidP="00A227CC">
            <w:pPr>
              <w:pStyle w:val="TableText"/>
            </w:pPr>
            <w:r>
              <w:t>Other broadacre</w:t>
            </w:r>
          </w:p>
        </w:tc>
        <w:tc>
          <w:tcPr>
            <w:tcW w:w="1276" w:type="pct"/>
            <w:tcBorders>
              <w:top w:val="nil"/>
              <w:left w:val="nil"/>
              <w:bottom w:val="nil"/>
              <w:right w:val="nil"/>
            </w:tcBorders>
            <w:shd w:val="clear" w:color="auto" w:fill="auto"/>
            <w:noWrap/>
          </w:tcPr>
          <w:p w:rsidR="00D47493" w:rsidRPr="000A3BF9" w:rsidRDefault="00CB735C" w:rsidP="00A227CC">
            <w:pPr>
              <w:pStyle w:val="TableText"/>
              <w:jc w:val="right"/>
            </w:pPr>
            <w:r>
              <w:t>45</w:t>
            </w:r>
          </w:p>
        </w:tc>
        <w:tc>
          <w:tcPr>
            <w:tcW w:w="1276" w:type="pct"/>
            <w:tcBorders>
              <w:top w:val="nil"/>
              <w:left w:val="nil"/>
              <w:bottom w:val="nil"/>
              <w:right w:val="nil"/>
            </w:tcBorders>
            <w:shd w:val="clear" w:color="auto" w:fill="auto"/>
            <w:noWrap/>
          </w:tcPr>
          <w:p w:rsidR="00D47493" w:rsidRPr="000A3BF9" w:rsidRDefault="00CB735C" w:rsidP="00A227CC">
            <w:pPr>
              <w:pStyle w:val="TableText"/>
              <w:jc w:val="right"/>
            </w:pPr>
            <w:r>
              <w:t>22</w:t>
            </w:r>
          </w:p>
        </w:tc>
        <w:tc>
          <w:tcPr>
            <w:tcW w:w="1276" w:type="pct"/>
            <w:tcBorders>
              <w:top w:val="nil"/>
              <w:left w:val="nil"/>
              <w:bottom w:val="nil"/>
              <w:right w:val="nil"/>
            </w:tcBorders>
          </w:tcPr>
          <w:p w:rsidR="00D47493" w:rsidRPr="009C5B22" w:rsidRDefault="00CB735C" w:rsidP="00A227CC">
            <w:pPr>
              <w:pStyle w:val="TableText"/>
              <w:jc w:val="right"/>
            </w:pPr>
            <w:r>
              <w:t>1</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Pr="000D39AF" w:rsidRDefault="00D47493" w:rsidP="00A227CC">
            <w:pPr>
              <w:pStyle w:val="TableText"/>
            </w:pPr>
            <w:r>
              <w:t>Other cereals</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383</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251</w:t>
            </w:r>
          </w:p>
        </w:tc>
        <w:tc>
          <w:tcPr>
            <w:tcW w:w="1276" w:type="pct"/>
            <w:tcBorders>
              <w:top w:val="nil"/>
              <w:left w:val="nil"/>
              <w:bottom w:val="nil"/>
              <w:right w:val="nil"/>
            </w:tcBorders>
          </w:tcPr>
          <w:p w:rsidR="00D47493" w:rsidRPr="009C5B22" w:rsidRDefault="00CB735C" w:rsidP="00A227CC">
            <w:pPr>
              <w:pStyle w:val="TableText"/>
              <w:jc w:val="right"/>
            </w:pPr>
            <w:r>
              <w:t>78</w:t>
            </w:r>
          </w:p>
        </w:tc>
      </w:tr>
      <w:tr w:rsidR="00D47493" w:rsidRPr="000D39AF" w:rsidTr="00A227CC">
        <w:trPr>
          <w:trHeight w:val="300"/>
        </w:trPr>
        <w:tc>
          <w:tcPr>
            <w:tcW w:w="1173" w:type="pct"/>
            <w:tcBorders>
              <w:top w:val="nil"/>
              <w:left w:val="nil"/>
              <w:bottom w:val="nil"/>
              <w:right w:val="nil"/>
            </w:tcBorders>
            <w:shd w:val="clear" w:color="auto" w:fill="auto"/>
            <w:noWrap/>
          </w:tcPr>
          <w:p w:rsidR="00D47493" w:rsidRDefault="00D47493" w:rsidP="00A227CC">
            <w:pPr>
              <w:pStyle w:val="TableText"/>
            </w:pPr>
            <w:r>
              <w:t>Other crops</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9</w:t>
            </w:r>
          </w:p>
        </w:tc>
        <w:tc>
          <w:tcPr>
            <w:tcW w:w="1276" w:type="pct"/>
            <w:tcBorders>
              <w:top w:val="nil"/>
              <w:left w:val="nil"/>
              <w:bottom w:val="nil"/>
              <w:right w:val="nil"/>
            </w:tcBorders>
            <w:shd w:val="clear" w:color="auto" w:fill="auto"/>
            <w:noWrap/>
          </w:tcPr>
          <w:p w:rsidR="00D47493" w:rsidRPr="003C18F9" w:rsidRDefault="00CB735C" w:rsidP="00A227CC">
            <w:pPr>
              <w:pStyle w:val="TableText"/>
              <w:jc w:val="right"/>
            </w:pPr>
            <w:r>
              <w:t>5</w:t>
            </w:r>
          </w:p>
        </w:tc>
        <w:tc>
          <w:tcPr>
            <w:tcW w:w="1276" w:type="pct"/>
            <w:tcBorders>
              <w:top w:val="nil"/>
              <w:left w:val="nil"/>
              <w:bottom w:val="nil"/>
              <w:right w:val="nil"/>
            </w:tcBorders>
          </w:tcPr>
          <w:p w:rsidR="00D47493" w:rsidRPr="009C5B22" w:rsidRDefault="00CB735C" w:rsidP="00A227CC">
            <w:pPr>
              <w:pStyle w:val="TableText"/>
              <w:jc w:val="right"/>
            </w:pPr>
            <w:r>
              <w:t>1</w:t>
            </w:r>
          </w:p>
        </w:tc>
      </w:tr>
      <w:tr w:rsidR="00D47493" w:rsidRPr="000D39AF" w:rsidTr="00A227CC">
        <w:trPr>
          <w:trHeight w:val="300"/>
        </w:trPr>
        <w:tc>
          <w:tcPr>
            <w:tcW w:w="1173" w:type="pct"/>
            <w:tcBorders>
              <w:top w:val="nil"/>
              <w:left w:val="nil"/>
              <w:bottom w:val="single" w:sz="4" w:space="0" w:color="auto"/>
              <w:right w:val="nil"/>
            </w:tcBorders>
            <w:shd w:val="clear" w:color="auto" w:fill="auto"/>
            <w:noWrap/>
          </w:tcPr>
          <w:p w:rsidR="00D47493" w:rsidRPr="00853CC8" w:rsidRDefault="00D47493" w:rsidP="00A227CC">
            <w:pPr>
              <w:pStyle w:val="TableText"/>
              <w:rPr>
                <w:b/>
              </w:rPr>
            </w:pPr>
            <w:r w:rsidRPr="00853CC8">
              <w:rPr>
                <w:b/>
              </w:rPr>
              <w:t>All irrigation activities</w:t>
            </w:r>
          </w:p>
        </w:tc>
        <w:tc>
          <w:tcPr>
            <w:tcW w:w="1276" w:type="pct"/>
            <w:tcBorders>
              <w:top w:val="nil"/>
              <w:left w:val="nil"/>
              <w:bottom w:val="single" w:sz="4" w:space="0" w:color="auto"/>
              <w:right w:val="nil"/>
            </w:tcBorders>
            <w:shd w:val="clear" w:color="auto" w:fill="auto"/>
            <w:noWrap/>
          </w:tcPr>
          <w:p w:rsidR="00D47493" w:rsidRPr="00853CC8" w:rsidRDefault="00D47493" w:rsidP="00A227CC">
            <w:pPr>
              <w:pStyle w:val="TableText"/>
              <w:jc w:val="right"/>
              <w:rPr>
                <w:b/>
              </w:rPr>
            </w:pPr>
            <w:r>
              <w:rPr>
                <w:b/>
              </w:rPr>
              <w:t>3,821</w:t>
            </w:r>
          </w:p>
        </w:tc>
        <w:tc>
          <w:tcPr>
            <w:tcW w:w="1276" w:type="pct"/>
            <w:tcBorders>
              <w:top w:val="nil"/>
              <w:left w:val="nil"/>
              <w:bottom w:val="single" w:sz="4" w:space="0" w:color="auto"/>
              <w:right w:val="nil"/>
            </w:tcBorders>
            <w:shd w:val="clear" w:color="auto" w:fill="auto"/>
            <w:noWrap/>
          </w:tcPr>
          <w:p w:rsidR="00D47493" w:rsidRPr="00853CC8" w:rsidRDefault="00D47493" w:rsidP="00A227CC">
            <w:pPr>
              <w:pStyle w:val="TableText"/>
              <w:jc w:val="right"/>
              <w:rPr>
                <w:b/>
              </w:rPr>
            </w:pPr>
            <w:r>
              <w:rPr>
                <w:b/>
              </w:rPr>
              <w:t>3,096</w:t>
            </w:r>
          </w:p>
        </w:tc>
        <w:tc>
          <w:tcPr>
            <w:tcW w:w="1276" w:type="pct"/>
            <w:tcBorders>
              <w:top w:val="nil"/>
              <w:left w:val="nil"/>
              <w:bottom w:val="single" w:sz="4" w:space="0" w:color="auto"/>
              <w:right w:val="nil"/>
            </w:tcBorders>
          </w:tcPr>
          <w:p w:rsidR="00D47493" w:rsidRPr="00853CC8" w:rsidRDefault="00D47493" w:rsidP="00A227CC">
            <w:pPr>
              <w:pStyle w:val="TableText"/>
              <w:jc w:val="right"/>
              <w:rPr>
                <w:b/>
              </w:rPr>
            </w:pPr>
            <w:r>
              <w:rPr>
                <w:b/>
              </w:rPr>
              <w:t>2,027</w:t>
            </w:r>
          </w:p>
        </w:tc>
      </w:tr>
    </w:tbl>
    <w:p w:rsidR="00D47493" w:rsidRDefault="00D47493" w:rsidP="00D47493"/>
    <w:p w:rsidR="007253B5" w:rsidRDefault="007253B5" w:rsidP="007253B5">
      <w:pPr>
        <w:pStyle w:val="Caption"/>
      </w:pPr>
      <w:bookmarkStart w:id="156" w:name="_Toc33629238"/>
      <w:bookmarkStart w:id="157" w:name="_Toc33629271"/>
      <w:bookmarkStart w:id="158" w:name="_Toc33712881"/>
      <w:bookmarkStart w:id="159" w:name="_Toc34318715"/>
      <w:bookmarkStart w:id="160" w:name="_Toc34735545"/>
      <w:bookmarkStart w:id="161" w:name="_Toc34735567"/>
      <w:r>
        <w:t xml:space="preserve">Table </w:t>
      </w:r>
      <w:r w:rsidR="006F7B0E">
        <w:t>B</w:t>
      </w:r>
      <w:r w:rsidR="006F7B0E">
        <w:rPr>
          <w:noProof/>
        </w:rPr>
        <w:fldChar w:fldCharType="begin"/>
      </w:r>
      <w:r w:rsidR="006F7B0E">
        <w:rPr>
          <w:noProof/>
        </w:rPr>
        <w:instrText xml:space="preserve"> SEQ Table_B \* ARABIC </w:instrText>
      </w:r>
      <w:r w:rsidR="006F7B0E">
        <w:rPr>
          <w:noProof/>
        </w:rPr>
        <w:fldChar w:fldCharType="separate"/>
      </w:r>
      <w:r w:rsidR="004D407F">
        <w:rPr>
          <w:noProof/>
        </w:rPr>
        <w:t>9</w:t>
      </w:r>
      <w:r w:rsidR="006F7B0E">
        <w:rPr>
          <w:noProof/>
        </w:rPr>
        <w:fldChar w:fldCharType="end"/>
      </w:r>
      <w:r>
        <w:t xml:space="preserve"> Percentage change in units of production, future market scenarios compared with the current market</w:t>
      </w:r>
      <w:bookmarkEnd w:id="156"/>
      <w:bookmarkEnd w:id="157"/>
      <w:bookmarkEnd w:id="158"/>
      <w:bookmarkEnd w:id="159"/>
      <w:bookmarkEnd w:id="160"/>
      <w:bookmarkEnd w:id="161"/>
    </w:p>
    <w:tbl>
      <w:tblPr>
        <w:tblW w:w="5000" w:type="pct"/>
        <w:tblLook w:val="04A0" w:firstRow="1" w:lastRow="0" w:firstColumn="1" w:lastColumn="0" w:noHBand="0" w:noVBand="1"/>
      </w:tblPr>
      <w:tblGrid>
        <w:gridCol w:w="2694"/>
        <w:gridCol w:w="3187"/>
        <w:gridCol w:w="3189"/>
      </w:tblGrid>
      <w:tr w:rsidR="007253B5" w:rsidRPr="000D39AF" w:rsidTr="007253B5">
        <w:trPr>
          <w:trHeight w:val="300"/>
        </w:trPr>
        <w:tc>
          <w:tcPr>
            <w:tcW w:w="1485" w:type="pct"/>
            <w:tcBorders>
              <w:top w:val="single" w:sz="4" w:space="0" w:color="auto"/>
              <w:left w:val="nil"/>
              <w:bottom w:val="single" w:sz="4" w:space="0" w:color="auto"/>
              <w:right w:val="nil"/>
            </w:tcBorders>
            <w:shd w:val="clear" w:color="auto" w:fill="auto"/>
            <w:noWrap/>
            <w:vAlign w:val="bottom"/>
            <w:hideMark/>
          </w:tcPr>
          <w:p w:rsidR="007253B5" w:rsidRPr="000D39AF" w:rsidRDefault="00853CC8" w:rsidP="007253B5">
            <w:pPr>
              <w:pStyle w:val="TableText"/>
              <w:rPr>
                <w:b/>
              </w:rPr>
            </w:pPr>
            <w:r>
              <w:rPr>
                <w:b/>
              </w:rPr>
              <w:t>Irrigation activity</w:t>
            </w:r>
          </w:p>
        </w:tc>
        <w:tc>
          <w:tcPr>
            <w:tcW w:w="1757" w:type="pct"/>
            <w:tcBorders>
              <w:top w:val="single" w:sz="4" w:space="0" w:color="auto"/>
              <w:left w:val="nil"/>
              <w:bottom w:val="single" w:sz="4" w:space="0" w:color="auto"/>
              <w:right w:val="nil"/>
            </w:tcBorders>
            <w:shd w:val="clear" w:color="auto" w:fill="auto"/>
            <w:noWrap/>
            <w:vAlign w:val="bottom"/>
            <w:hideMark/>
          </w:tcPr>
          <w:p w:rsidR="007253B5" w:rsidRDefault="007253B5" w:rsidP="007253B5">
            <w:pPr>
              <w:pStyle w:val="TableText"/>
              <w:jc w:val="right"/>
              <w:rPr>
                <w:b/>
              </w:rPr>
            </w:pPr>
            <w:r>
              <w:rPr>
                <w:b/>
              </w:rPr>
              <w:t xml:space="preserve">Future market </w:t>
            </w:r>
            <w:r>
              <w:rPr>
                <w:b/>
              </w:rPr>
              <w:br/>
              <w:t>compared to Current market</w:t>
            </w:r>
          </w:p>
          <w:p w:rsidR="007253B5" w:rsidRPr="000D39AF" w:rsidRDefault="007253B5" w:rsidP="007253B5">
            <w:pPr>
              <w:pStyle w:val="TableText"/>
              <w:jc w:val="right"/>
              <w:rPr>
                <w:b/>
              </w:rPr>
            </w:pPr>
            <w:r>
              <w:rPr>
                <w:b/>
              </w:rPr>
              <w:t>(% change)</w:t>
            </w:r>
          </w:p>
        </w:tc>
        <w:tc>
          <w:tcPr>
            <w:tcW w:w="1758" w:type="pct"/>
            <w:tcBorders>
              <w:top w:val="single" w:sz="4" w:space="0" w:color="auto"/>
              <w:left w:val="nil"/>
              <w:bottom w:val="single" w:sz="4" w:space="0" w:color="auto"/>
              <w:right w:val="nil"/>
            </w:tcBorders>
            <w:shd w:val="clear" w:color="auto" w:fill="auto"/>
            <w:noWrap/>
            <w:vAlign w:val="bottom"/>
            <w:hideMark/>
          </w:tcPr>
          <w:p w:rsidR="007253B5" w:rsidRDefault="007253B5" w:rsidP="007253B5">
            <w:pPr>
              <w:pStyle w:val="TableText"/>
              <w:jc w:val="right"/>
              <w:rPr>
                <w:b/>
              </w:rPr>
            </w:pPr>
            <w:r>
              <w:rPr>
                <w:b/>
              </w:rPr>
              <w:t xml:space="preserve">Future market (dry) </w:t>
            </w:r>
            <w:r>
              <w:rPr>
                <w:b/>
              </w:rPr>
              <w:br/>
              <w:t>compared to Current market</w:t>
            </w:r>
          </w:p>
          <w:p w:rsidR="007253B5" w:rsidRPr="000D39AF" w:rsidRDefault="007253B5" w:rsidP="007253B5">
            <w:pPr>
              <w:pStyle w:val="TableText"/>
              <w:jc w:val="right"/>
              <w:rPr>
                <w:b/>
              </w:rPr>
            </w:pPr>
            <w:r>
              <w:rPr>
                <w:b/>
              </w:rPr>
              <w:t>(% change)</w:t>
            </w:r>
          </w:p>
        </w:tc>
      </w:tr>
      <w:tr w:rsidR="007253B5" w:rsidRPr="000D39AF" w:rsidTr="007253B5">
        <w:trPr>
          <w:trHeight w:val="300"/>
        </w:trPr>
        <w:tc>
          <w:tcPr>
            <w:tcW w:w="1485" w:type="pct"/>
            <w:tcBorders>
              <w:top w:val="single" w:sz="4" w:space="0" w:color="auto"/>
              <w:left w:val="nil"/>
              <w:bottom w:val="nil"/>
              <w:right w:val="nil"/>
            </w:tcBorders>
            <w:shd w:val="clear" w:color="auto" w:fill="auto"/>
            <w:noWrap/>
            <w:hideMark/>
          </w:tcPr>
          <w:p w:rsidR="007253B5" w:rsidRPr="000D39AF" w:rsidRDefault="007253B5" w:rsidP="007253B5">
            <w:pPr>
              <w:pStyle w:val="TableText"/>
            </w:pPr>
            <w:r w:rsidRPr="009C5B22">
              <w:t>Cotton</w:t>
            </w:r>
          </w:p>
        </w:tc>
        <w:tc>
          <w:tcPr>
            <w:tcW w:w="1757" w:type="pct"/>
            <w:tcBorders>
              <w:top w:val="single" w:sz="4" w:space="0" w:color="auto"/>
              <w:left w:val="nil"/>
              <w:bottom w:val="nil"/>
              <w:right w:val="nil"/>
            </w:tcBorders>
            <w:shd w:val="clear" w:color="auto" w:fill="auto"/>
            <w:noWrap/>
            <w:hideMark/>
          </w:tcPr>
          <w:p w:rsidR="007253B5" w:rsidRPr="003C18F9" w:rsidRDefault="007253B5" w:rsidP="007253B5">
            <w:pPr>
              <w:pStyle w:val="TableText"/>
              <w:jc w:val="right"/>
            </w:pPr>
            <w:r w:rsidRPr="009C5B22">
              <w:t>-2.8%</w:t>
            </w:r>
          </w:p>
        </w:tc>
        <w:tc>
          <w:tcPr>
            <w:tcW w:w="1758" w:type="pct"/>
            <w:tcBorders>
              <w:top w:val="single" w:sz="4" w:space="0" w:color="auto"/>
              <w:left w:val="nil"/>
              <w:bottom w:val="nil"/>
              <w:right w:val="nil"/>
            </w:tcBorders>
            <w:shd w:val="clear" w:color="auto" w:fill="auto"/>
            <w:noWrap/>
            <w:hideMark/>
          </w:tcPr>
          <w:p w:rsidR="007253B5" w:rsidRPr="003C18F9" w:rsidRDefault="007253B5" w:rsidP="007253B5">
            <w:pPr>
              <w:pStyle w:val="TableText"/>
              <w:jc w:val="right"/>
            </w:pPr>
            <w:r w:rsidRPr="009C5B22">
              <w:t>-10.4%</w:t>
            </w:r>
          </w:p>
        </w:tc>
      </w:tr>
      <w:tr w:rsidR="007253B5" w:rsidRPr="000D39AF" w:rsidTr="007253B5">
        <w:trPr>
          <w:trHeight w:val="300"/>
        </w:trPr>
        <w:tc>
          <w:tcPr>
            <w:tcW w:w="1485" w:type="pct"/>
            <w:tcBorders>
              <w:top w:val="nil"/>
              <w:left w:val="nil"/>
              <w:bottom w:val="nil"/>
              <w:right w:val="nil"/>
            </w:tcBorders>
            <w:shd w:val="clear" w:color="auto" w:fill="auto"/>
            <w:noWrap/>
            <w:hideMark/>
          </w:tcPr>
          <w:p w:rsidR="007253B5" w:rsidRPr="000D39AF" w:rsidRDefault="007253B5" w:rsidP="007253B5">
            <w:pPr>
              <w:pStyle w:val="TableText"/>
            </w:pPr>
            <w:r w:rsidRPr="009C5B22">
              <w:t>Rice</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-13.5%</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-30.3%</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Pr="000D39AF" w:rsidRDefault="007253B5" w:rsidP="007253B5">
            <w:pPr>
              <w:pStyle w:val="TableText"/>
            </w:pPr>
            <w:r w:rsidRPr="009C5B22">
              <w:t>Dairy</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-8.6%</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-16.2%</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Pr="000D39AF" w:rsidRDefault="007253B5" w:rsidP="007253B5">
            <w:pPr>
              <w:pStyle w:val="TableText"/>
            </w:pPr>
            <w:r w:rsidRPr="009C5B22">
              <w:t>Almonds</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23.5%</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22.8%</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Pr="000D39AF" w:rsidRDefault="007253B5" w:rsidP="007253B5">
            <w:pPr>
              <w:pStyle w:val="TableText"/>
            </w:pPr>
            <w:r w:rsidRPr="009C5B22">
              <w:t>Fruit</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2.1%</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1.4%</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Pr="000D39AF" w:rsidRDefault="007253B5" w:rsidP="007253B5">
            <w:pPr>
              <w:pStyle w:val="TableText"/>
            </w:pPr>
            <w:r w:rsidRPr="009C5B22">
              <w:t>Grapevines</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t>-0.4</w:t>
            </w:r>
            <w:r w:rsidRPr="009C5B22">
              <w:t>%</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t>-4.7</w:t>
            </w:r>
            <w:r w:rsidRPr="009C5B22">
              <w:t>%</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Pr="000D39AF" w:rsidRDefault="007253B5" w:rsidP="007253B5">
            <w:pPr>
              <w:pStyle w:val="TableText"/>
            </w:pPr>
            <w:r w:rsidRPr="009C5B22">
              <w:t>Vegetables</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3.8%</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4.0%</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Pr="000D39AF" w:rsidRDefault="007253B5" w:rsidP="007253B5">
            <w:pPr>
              <w:pStyle w:val="TableText"/>
            </w:pPr>
            <w:r>
              <w:t>Pastures – grazing</w:t>
            </w:r>
          </w:p>
        </w:tc>
        <w:tc>
          <w:tcPr>
            <w:tcW w:w="1757"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-6.7%</w:t>
            </w:r>
          </w:p>
        </w:tc>
        <w:tc>
          <w:tcPr>
            <w:tcW w:w="1758" w:type="pct"/>
            <w:tcBorders>
              <w:top w:val="nil"/>
              <w:left w:val="nil"/>
              <w:bottom w:val="nil"/>
              <w:right w:val="nil"/>
            </w:tcBorders>
            <w:shd w:val="clear" w:color="auto" w:fill="auto"/>
            <w:noWrap/>
          </w:tcPr>
          <w:p w:rsidR="007253B5" w:rsidRPr="003C18F9" w:rsidRDefault="007253B5" w:rsidP="007253B5">
            <w:pPr>
              <w:pStyle w:val="TableText"/>
              <w:jc w:val="right"/>
            </w:pPr>
            <w:r w:rsidRPr="009C5B22">
              <w:t>-18.0%</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Default="007253B5" w:rsidP="007253B5">
            <w:pPr>
              <w:pStyle w:val="TableText"/>
            </w:pPr>
            <w:r>
              <w:t>Pastures – hay</w:t>
            </w:r>
          </w:p>
        </w:tc>
        <w:tc>
          <w:tcPr>
            <w:tcW w:w="1757" w:type="pct"/>
            <w:tcBorders>
              <w:top w:val="nil"/>
              <w:left w:val="nil"/>
              <w:bottom w:val="nil"/>
              <w:right w:val="nil"/>
            </w:tcBorders>
            <w:shd w:val="clear" w:color="auto" w:fill="auto"/>
            <w:noWrap/>
          </w:tcPr>
          <w:p w:rsidR="007253B5" w:rsidRPr="000A3BF9" w:rsidRDefault="007253B5" w:rsidP="007253B5">
            <w:pPr>
              <w:pStyle w:val="TableText"/>
              <w:jc w:val="right"/>
            </w:pPr>
            <w:r w:rsidRPr="009C5B22">
              <w:t>-15.4%</w:t>
            </w:r>
          </w:p>
        </w:tc>
        <w:tc>
          <w:tcPr>
            <w:tcW w:w="1758" w:type="pct"/>
            <w:tcBorders>
              <w:top w:val="nil"/>
              <w:left w:val="nil"/>
              <w:bottom w:val="nil"/>
              <w:right w:val="nil"/>
            </w:tcBorders>
            <w:shd w:val="clear" w:color="auto" w:fill="auto"/>
            <w:noWrap/>
          </w:tcPr>
          <w:p w:rsidR="007253B5" w:rsidRPr="000A3BF9" w:rsidRDefault="007253B5" w:rsidP="007253B5">
            <w:pPr>
              <w:pStyle w:val="TableText"/>
              <w:jc w:val="right"/>
            </w:pPr>
            <w:r w:rsidRPr="009C5B22">
              <w:t>-32.2%</w:t>
            </w:r>
          </w:p>
        </w:tc>
      </w:tr>
      <w:tr w:rsidR="007253B5" w:rsidRPr="000D39AF" w:rsidTr="007253B5">
        <w:trPr>
          <w:trHeight w:val="300"/>
        </w:trPr>
        <w:tc>
          <w:tcPr>
            <w:tcW w:w="1485" w:type="pct"/>
            <w:tcBorders>
              <w:top w:val="nil"/>
              <w:left w:val="nil"/>
              <w:bottom w:val="nil"/>
              <w:right w:val="nil"/>
            </w:tcBorders>
            <w:shd w:val="clear" w:color="auto" w:fill="auto"/>
            <w:noWrap/>
          </w:tcPr>
          <w:p w:rsidR="007253B5" w:rsidRDefault="007253B5" w:rsidP="007253B5">
            <w:pPr>
              <w:pStyle w:val="TableText"/>
            </w:pPr>
            <w:r>
              <w:t>Other broadacre</w:t>
            </w:r>
          </w:p>
        </w:tc>
        <w:tc>
          <w:tcPr>
            <w:tcW w:w="1757" w:type="pct"/>
            <w:tcBorders>
              <w:top w:val="nil"/>
              <w:left w:val="nil"/>
              <w:bottom w:val="nil"/>
              <w:right w:val="nil"/>
            </w:tcBorders>
            <w:shd w:val="clear" w:color="auto" w:fill="auto"/>
            <w:noWrap/>
          </w:tcPr>
          <w:p w:rsidR="007253B5" w:rsidRPr="000A3BF9" w:rsidRDefault="007253B5" w:rsidP="007253B5">
            <w:pPr>
              <w:pStyle w:val="TableText"/>
              <w:jc w:val="right"/>
            </w:pPr>
            <w:r w:rsidRPr="009C5B22">
              <w:t>-18.5%</w:t>
            </w:r>
          </w:p>
        </w:tc>
        <w:tc>
          <w:tcPr>
            <w:tcW w:w="1758" w:type="pct"/>
            <w:tcBorders>
              <w:top w:val="nil"/>
              <w:left w:val="nil"/>
              <w:bottom w:val="nil"/>
              <w:right w:val="nil"/>
            </w:tcBorders>
            <w:shd w:val="clear" w:color="auto" w:fill="auto"/>
            <w:noWrap/>
          </w:tcPr>
          <w:p w:rsidR="007253B5" w:rsidRPr="000A3BF9" w:rsidRDefault="007253B5" w:rsidP="007253B5">
            <w:pPr>
              <w:pStyle w:val="TableText"/>
              <w:jc w:val="right"/>
            </w:pPr>
            <w:r w:rsidRPr="009C5B22">
              <w:t>-37.8%</w:t>
            </w:r>
          </w:p>
        </w:tc>
      </w:tr>
      <w:tr w:rsidR="007253B5" w:rsidRPr="000D39AF" w:rsidTr="007253B5">
        <w:trPr>
          <w:trHeight w:val="300"/>
        </w:trPr>
        <w:tc>
          <w:tcPr>
            <w:tcW w:w="1485" w:type="pct"/>
            <w:tcBorders>
              <w:top w:val="nil"/>
              <w:left w:val="nil"/>
              <w:bottom w:val="single" w:sz="4" w:space="0" w:color="auto"/>
              <w:right w:val="nil"/>
            </w:tcBorders>
            <w:shd w:val="clear" w:color="auto" w:fill="auto"/>
            <w:noWrap/>
          </w:tcPr>
          <w:p w:rsidR="007253B5" w:rsidRPr="000D39AF" w:rsidRDefault="007253B5" w:rsidP="007253B5">
            <w:pPr>
              <w:pStyle w:val="TableText"/>
            </w:pPr>
            <w:r>
              <w:t>Other cereals</w:t>
            </w:r>
          </w:p>
        </w:tc>
        <w:tc>
          <w:tcPr>
            <w:tcW w:w="1757"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rsidRPr="009C5B22">
              <w:t>-9.1%</w:t>
            </w:r>
          </w:p>
        </w:tc>
        <w:tc>
          <w:tcPr>
            <w:tcW w:w="1758" w:type="pct"/>
            <w:tcBorders>
              <w:top w:val="nil"/>
              <w:left w:val="nil"/>
              <w:bottom w:val="single" w:sz="4" w:space="0" w:color="auto"/>
              <w:right w:val="nil"/>
            </w:tcBorders>
            <w:shd w:val="clear" w:color="auto" w:fill="auto"/>
            <w:noWrap/>
          </w:tcPr>
          <w:p w:rsidR="007253B5" w:rsidRPr="003C18F9" w:rsidRDefault="007253B5" w:rsidP="007253B5">
            <w:pPr>
              <w:pStyle w:val="TableText"/>
              <w:jc w:val="right"/>
            </w:pPr>
            <w:r w:rsidRPr="009C5B22">
              <w:t>-22.4%</w:t>
            </w:r>
          </w:p>
        </w:tc>
      </w:tr>
    </w:tbl>
    <w:p w:rsidR="007253B5" w:rsidRDefault="007253B5" w:rsidP="007253B5"/>
    <w:p w:rsidR="002723F5" w:rsidRDefault="002723F5" w:rsidP="002723F5">
      <w:pPr>
        <w:pStyle w:val="Heading2"/>
        <w:numPr>
          <w:ilvl w:val="0"/>
          <w:numId w:val="0"/>
        </w:numPr>
        <w:ind w:left="720" w:hanging="720"/>
      </w:pPr>
      <w:bookmarkStart w:id="162" w:name="_Toc34735532"/>
      <w:r>
        <w:lastRenderedPageBreak/>
        <w:t>Appendix C: Future water recovery</w:t>
      </w:r>
      <w:bookmarkEnd w:id="162"/>
    </w:p>
    <w:p w:rsidR="00AF46A9" w:rsidRDefault="00AF46A9" w:rsidP="00AF46A9">
      <w:pPr>
        <w:pStyle w:val="BodyText"/>
      </w:pPr>
      <w:r>
        <w:t>In this analysis, all future water recovery is assumed to only occur through on-farm programs. Water is recovered through three broad entitlement types, summarised in Table C1. Further detail for the model dataset and methodology will be made available in a forthcoming technical report.</w:t>
      </w:r>
    </w:p>
    <w:p w:rsidR="00AF46A9" w:rsidRDefault="00AF46A9" w:rsidP="00AF46A9">
      <w:pPr>
        <w:pStyle w:val="Caption"/>
      </w:pPr>
      <w:bookmarkStart w:id="163" w:name="_Toc34735568"/>
      <w:r>
        <w:t>Table C</w:t>
      </w:r>
      <w:r>
        <w:rPr>
          <w:noProof/>
        </w:rPr>
        <w:fldChar w:fldCharType="begin"/>
      </w:r>
      <w:r>
        <w:rPr>
          <w:noProof/>
        </w:rPr>
        <w:instrText xml:space="preserve"> SEQ Table_C \* ARABIC </w:instrText>
      </w:r>
      <w:r>
        <w:rPr>
          <w:noProof/>
        </w:rPr>
        <w:fldChar w:fldCharType="separate"/>
      </w:r>
      <w:r w:rsidR="004D407F">
        <w:rPr>
          <w:noProof/>
        </w:rPr>
        <w:t>1</w:t>
      </w:r>
      <w:r>
        <w:rPr>
          <w:noProof/>
        </w:rPr>
        <w:fldChar w:fldCharType="end"/>
      </w:r>
      <w:r>
        <w:t xml:space="preserve"> Water entitlement types</w:t>
      </w:r>
      <w:bookmarkEnd w:id="163"/>
    </w:p>
    <w:tbl>
      <w:tblPr>
        <w:tblW w:w="402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370"/>
        <w:gridCol w:w="4922"/>
      </w:tblGrid>
      <w:tr w:rsidR="00AF46A9" w:rsidTr="00C36D89">
        <w:trPr>
          <w:cantSplit/>
          <w:tblHeader/>
        </w:trPr>
        <w:tc>
          <w:tcPr>
            <w:tcW w:w="2370" w:type="dxa"/>
            <w:tcMar>
              <w:left w:w="108" w:type="dxa"/>
              <w:right w:w="108" w:type="dxa"/>
            </w:tcMar>
          </w:tcPr>
          <w:p w:rsidR="00AF46A9" w:rsidRPr="00A86764" w:rsidRDefault="00AF46A9" w:rsidP="00C36D89">
            <w:pPr>
              <w:pStyle w:val="TableText"/>
              <w:rPr>
                <w:b/>
                <w:i/>
              </w:rPr>
            </w:pPr>
            <w:r>
              <w:rPr>
                <w:b/>
              </w:rPr>
              <w:t>Entitlement class</w:t>
            </w:r>
          </w:p>
        </w:tc>
        <w:tc>
          <w:tcPr>
            <w:tcW w:w="4922" w:type="dxa"/>
          </w:tcPr>
          <w:p w:rsidR="00AF46A9" w:rsidRPr="00A86764" w:rsidRDefault="00AF46A9" w:rsidP="00C36D89">
            <w:pPr>
              <w:pStyle w:val="TableText"/>
              <w:rPr>
                <w:b/>
              </w:rPr>
            </w:pPr>
            <w:r>
              <w:rPr>
                <w:b/>
              </w:rPr>
              <w:t>Description</w:t>
            </w:r>
          </w:p>
        </w:tc>
      </w:tr>
      <w:tr w:rsidR="00AF46A9" w:rsidTr="00C36D89">
        <w:trPr>
          <w:cantSplit/>
          <w:tblHeader/>
        </w:trPr>
        <w:tc>
          <w:tcPr>
            <w:tcW w:w="2370" w:type="dxa"/>
            <w:tcMar>
              <w:left w:w="108" w:type="dxa"/>
              <w:right w:w="108" w:type="dxa"/>
            </w:tcMar>
          </w:tcPr>
          <w:p w:rsidR="00AF46A9" w:rsidRPr="00A86764" w:rsidRDefault="00AF46A9" w:rsidP="00C36D89">
            <w:pPr>
              <w:pStyle w:val="TableText"/>
              <w:rPr>
                <w:i/>
              </w:rPr>
            </w:pPr>
            <w:r>
              <w:rPr>
                <w:i/>
              </w:rPr>
              <w:t>high</w:t>
            </w:r>
          </w:p>
        </w:tc>
        <w:tc>
          <w:tcPr>
            <w:tcW w:w="4922" w:type="dxa"/>
          </w:tcPr>
          <w:p w:rsidR="00AF46A9" w:rsidRPr="00A429F2" w:rsidRDefault="00AF46A9" w:rsidP="00C36D89">
            <w:pPr>
              <w:pStyle w:val="TableText"/>
            </w:pPr>
            <w:r>
              <w:t>Vic. High reliability, NSW High security, SA class 3</w:t>
            </w:r>
          </w:p>
        </w:tc>
      </w:tr>
      <w:tr w:rsidR="00AF46A9" w:rsidTr="00C36D89">
        <w:trPr>
          <w:cantSplit/>
          <w:tblHeader/>
        </w:trPr>
        <w:tc>
          <w:tcPr>
            <w:tcW w:w="2370" w:type="dxa"/>
            <w:tcMar>
              <w:left w:w="108" w:type="dxa"/>
              <w:right w:w="108" w:type="dxa"/>
            </w:tcMar>
          </w:tcPr>
          <w:p w:rsidR="00AF46A9" w:rsidRPr="00A86764" w:rsidRDefault="00AF46A9" w:rsidP="00C36D89">
            <w:pPr>
              <w:pStyle w:val="TableText"/>
              <w:rPr>
                <w:i/>
              </w:rPr>
            </w:pPr>
            <w:r w:rsidRPr="00A86764">
              <w:rPr>
                <w:i/>
              </w:rPr>
              <w:t>low</w:t>
            </w:r>
          </w:p>
        </w:tc>
        <w:tc>
          <w:tcPr>
            <w:tcW w:w="4922" w:type="dxa"/>
          </w:tcPr>
          <w:p w:rsidR="00AF46A9" w:rsidRPr="00A429F2" w:rsidRDefault="00AF46A9" w:rsidP="00C36D89">
            <w:pPr>
              <w:pStyle w:val="TableText"/>
            </w:pPr>
            <w:r>
              <w:t>Vic. Low reliability, NSW General security</w:t>
            </w:r>
          </w:p>
        </w:tc>
      </w:tr>
      <w:tr w:rsidR="00AF46A9" w:rsidTr="00C36D89">
        <w:trPr>
          <w:cantSplit/>
          <w:tblHeader/>
        </w:trPr>
        <w:tc>
          <w:tcPr>
            <w:tcW w:w="2370" w:type="dxa"/>
            <w:tcMar>
              <w:left w:w="108" w:type="dxa"/>
              <w:right w:w="108" w:type="dxa"/>
            </w:tcMar>
          </w:tcPr>
          <w:p w:rsidR="00AF46A9" w:rsidRPr="00A86764" w:rsidRDefault="00AF46A9" w:rsidP="00C36D89">
            <w:pPr>
              <w:pStyle w:val="TableText"/>
              <w:rPr>
                <w:i/>
              </w:rPr>
            </w:pPr>
            <w:r>
              <w:rPr>
                <w:i/>
              </w:rPr>
              <w:t>supplementary</w:t>
            </w:r>
          </w:p>
        </w:tc>
        <w:tc>
          <w:tcPr>
            <w:tcW w:w="4922" w:type="dxa"/>
          </w:tcPr>
          <w:p w:rsidR="00AF46A9" w:rsidRPr="00A429F2" w:rsidRDefault="00AF46A9" w:rsidP="00C36D89">
            <w:pPr>
              <w:pStyle w:val="TableText"/>
            </w:pPr>
            <w:r>
              <w:t>NSW Supplementary</w:t>
            </w:r>
          </w:p>
        </w:tc>
      </w:tr>
    </w:tbl>
    <w:p w:rsidR="00AF46A9" w:rsidRDefault="00AF46A9" w:rsidP="00AF46A9">
      <w:pPr>
        <w:pStyle w:val="BodyText"/>
      </w:pPr>
    </w:p>
    <w:p w:rsidR="00180367" w:rsidRDefault="00180367" w:rsidP="00180367">
      <w:pPr>
        <w:pStyle w:val="Heading3"/>
        <w:numPr>
          <w:ilvl w:val="0"/>
          <w:numId w:val="0"/>
        </w:numPr>
        <w:ind w:left="964" w:hanging="964"/>
      </w:pPr>
      <w:bookmarkStart w:id="164" w:name="_Toc34735533"/>
      <w:r>
        <w:t>Supply effect of future water recovery</w:t>
      </w:r>
      <w:bookmarkEnd w:id="164"/>
    </w:p>
    <w:p w:rsidR="002723F5" w:rsidRDefault="002723F5" w:rsidP="002723F5">
      <w:pPr>
        <w:pStyle w:val="BodyText"/>
      </w:pPr>
      <w:r>
        <w:t>On the supply side</w:t>
      </w:r>
      <w:r w:rsidR="00617E04">
        <w:t>,</w:t>
      </w:r>
      <w:r>
        <w:t xml:space="preserve"> we assume that future water recovery volumes are distributed across regions and entitlement types in proportion to existing recovery. Total MDB future water recovery of </w:t>
      </w:r>
      <m:oMath>
        <m:bar>
          <m:barPr>
            <m:pos m:val="top"/>
            <m:ctrlPr>
              <w:rPr>
                <w:rFonts w:ascii="Cambria Math" w:hAnsi="Cambria Math"/>
              </w:rPr>
            </m:ctrlPr>
          </m:barPr>
          <m:e>
            <m:r>
              <w:rPr>
                <w:rFonts w:ascii="Cambria Math" w:hAnsi="Cambria Math"/>
              </w:rPr>
              <m:t>B</m:t>
            </m:r>
          </m:e>
        </m:bar>
        <m:r>
          <w:rPr>
            <w:rFonts w:ascii="Cambria Math" w:hAnsi="Cambria Math"/>
          </w:rPr>
          <m:t>=</m:t>
        </m:r>
      </m:oMath>
      <w:r>
        <w:t xml:space="preserve"> 501.6 GL (in LTAAY units) is assumed (including 51.</w:t>
      </w:r>
      <w:r w:rsidR="00097340">
        <w:t xml:space="preserve">6 </w:t>
      </w:r>
      <w:r>
        <w:t xml:space="preserve">GL of recovery remaining to satisfy the 2,750GL target and an additional 450 GL to reach 3,200 GL). </w:t>
      </w:r>
    </w:p>
    <w:p w:rsidR="002723F5" w:rsidRDefault="00AF46A9" w:rsidP="002723F5">
      <w:pPr>
        <w:pStyle w:val="BodyText"/>
      </w:pPr>
      <w:r>
        <w:t>In the equations below,</w:t>
      </w:r>
      <w:r w:rsidR="002723F5">
        <w:t xml:space="preserve"> </w:t>
      </w:r>
      <m:oMath>
        <m:sSub>
          <m:sSubPr>
            <m:ctrlPr>
              <w:rPr>
                <w:rFonts w:ascii="Cambria Math" w:hAnsi="Cambria Math"/>
              </w:rPr>
            </m:ctrlPr>
          </m:sSubPr>
          <m:e>
            <m:groupChr>
              <m:groupChrPr>
                <m:chr m:val="̃"/>
                <m:pos m:val="top"/>
                <m:vertJc m:val="bot"/>
                <m:ctrlPr>
                  <w:rPr>
                    <w:rFonts w:ascii="Cambria Math" w:hAnsi="Cambria Math"/>
                  </w:rPr>
                </m:ctrlPr>
              </m:groupChrPr>
              <m:e>
                <m:r>
                  <w:rPr>
                    <w:rFonts w:ascii="Cambria Math" w:hAnsi="Cambria Math"/>
                  </w:rPr>
                  <m:t>B</m:t>
                </m:r>
              </m:e>
            </m:groupChr>
          </m:e>
          <m:sub>
            <m:r>
              <w:rPr>
                <w:rFonts w:ascii="Cambria Math" w:hAnsi="Cambria Math"/>
              </w:rPr>
              <m:t>hik</m:t>
            </m:r>
          </m:sub>
        </m:sSub>
      </m:oMath>
      <w:r w:rsidR="002723F5">
        <w:t xml:space="preserve"> is the total volume of additional water recovery by entitlement type (in nominal units)</w:t>
      </w:r>
      <w:r w:rsidR="00BE7111">
        <w:t>, region</w:t>
      </w:r>
      <w:r w:rsidR="002723F5">
        <w:t xml:space="preserve"> and method, </w:t>
      </w:r>
      <m:oMath>
        <m:sSub>
          <m:sSubPr>
            <m:ctrlPr>
              <w:rPr>
                <w:rFonts w:ascii="Cambria Math" w:hAnsi="Cambria Math"/>
              </w:rPr>
            </m:ctrlPr>
          </m:sSubPr>
          <m:e>
            <m:groupChr>
              <m:groupChrPr>
                <m:chr m:val="̃"/>
                <m:pos m:val="top"/>
                <m:vertJc m:val="bot"/>
                <m:ctrlPr>
                  <w:rPr>
                    <w:rFonts w:ascii="Cambria Math" w:hAnsi="Cambria Math"/>
                  </w:rPr>
                </m:ctrlPr>
              </m:groupChrPr>
              <m:e>
                <m:r>
                  <w:rPr>
                    <w:rFonts w:ascii="Cambria Math" w:hAnsi="Cambria Math"/>
                  </w:rPr>
                  <m:t>E</m:t>
                </m:r>
              </m:e>
            </m:groupChr>
          </m:e>
          <m:sub>
            <m:r>
              <w:rPr>
                <w:rFonts w:ascii="Cambria Math" w:hAnsi="Cambria Math"/>
              </w:rPr>
              <m:t>hi</m:t>
            </m:r>
          </m:sub>
        </m:sSub>
      </m:oMath>
      <w:r w:rsidR="002723F5">
        <w:t xml:space="preserve"> is the volume of water entitlements (by </w:t>
      </w:r>
      <w:r w:rsidR="00BE7111">
        <w:t>type</w:t>
      </w:r>
      <w:r w:rsidR="002723F5">
        <w:t xml:space="preserve"> and </w:t>
      </w:r>
      <w:r w:rsidR="00BE7111">
        <w:t>region</w:t>
      </w:r>
      <w:r w:rsidR="002723F5">
        <w:t xml:space="preserve">) left remaining after recovery to date </w:t>
      </w:r>
      <w:r>
        <w:t xml:space="preserve">(and therefore available for future recovery) </w:t>
      </w:r>
      <w:r w:rsidR="002723F5">
        <w:t xml:space="preserve">and </w:t>
      </w:r>
      <m:oMath>
        <m:sSub>
          <m:sSubPr>
            <m:ctrlPr>
              <w:rPr>
                <w:rFonts w:ascii="Cambria Math" w:hAnsi="Cambria Math"/>
              </w:rPr>
            </m:ctrlPr>
          </m:sSubPr>
          <m:e>
            <m:r>
              <w:rPr>
                <w:rFonts w:ascii="Cambria Math" w:hAnsi="Cambria Math"/>
              </w:rPr>
              <m:t>f</m:t>
            </m:r>
          </m:e>
          <m:sub>
            <m:r>
              <w:rPr>
                <w:rFonts w:ascii="Cambria Math" w:hAnsi="Cambria Math"/>
              </w:rPr>
              <m:t>hi</m:t>
            </m:r>
          </m:sub>
        </m:sSub>
      </m:oMath>
      <w:r w:rsidR="002723F5">
        <w:t xml:space="preserve"> are the LTAAY conversion factors. </w:t>
      </w:r>
      <m:oMath>
        <m:sSub>
          <m:sSubPr>
            <m:ctrlPr>
              <w:rPr>
                <w:rFonts w:ascii="Cambria Math" w:hAnsi="Cambria Math"/>
              </w:rPr>
            </m:ctrlPr>
          </m:sSubPr>
          <m:e>
            <m:r>
              <w:rPr>
                <w:rFonts w:ascii="Cambria Math" w:hAnsi="Cambria Math"/>
              </w:rPr>
              <m:t>b</m:t>
            </m:r>
          </m:e>
          <m:sub>
            <m:r>
              <w:rPr>
                <w:rFonts w:ascii="Cambria Math" w:hAnsi="Cambria Math"/>
              </w:rPr>
              <m:t>k</m:t>
            </m:r>
          </m:sub>
        </m:sSub>
        <m:r>
          <w:rPr>
            <w:rFonts w:ascii="Cambria Math" w:hAnsi="Cambria Math"/>
          </w:rPr>
          <m:t>∈[0,1]</m:t>
        </m:r>
      </m:oMath>
      <w:r w:rsidR="002723F5">
        <w:t xml:space="preserve"> </w:t>
      </w:r>
      <w:proofErr w:type="gramStart"/>
      <w:r w:rsidR="002723F5">
        <w:t>is</w:t>
      </w:r>
      <w:proofErr w:type="gramEnd"/>
      <w:r w:rsidR="002723F5">
        <w:t xml:space="preserve"> a parameter reflecting the future split between </w:t>
      </w:r>
      <w:r w:rsidR="002723F5">
        <w:rPr>
          <w:i/>
        </w:rPr>
        <w:t>on</w:t>
      </w:r>
      <w:r w:rsidR="00ED3703">
        <w:rPr>
          <w:i/>
        </w:rPr>
        <w:t>-</w:t>
      </w:r>
      <w:r w:rsidR="002723F5">
        <w:rPr>
          <w:i/>
        </w:rPr>
        <w:t>farm</w:t>
      </w:r>
      <w:r w:rsidR="002723F5">
        <w:t xml:space="preserve"> and </w:t>
      </w:r>
      <w:r w:rsidR="002723F5">
        <w:rPr>
          <w:i/>
        </w:rPr>
        <w:t>buyback</w:t>
      </w:r>
      <w:r w:rsidR="002723F5">
        <w:t xml:space="preserve"> recovery (for this study we assume </w:t>
      </w:r>
      <m:oMath>
        <m:sSub>
          <m:sSubPr>
            <m:ctrlPr>
              <w:rPr>
                <w:rFonts w:ascii="Cambria Math" w:hAnsi="Cambria Math"/>
              </w:rPr>
            </m:ctrlPr>
          </m:sSubPr>
          <m:e>
            <m:r>
              <w:rPr>
                <w:rFonts w:ascii="Cambria Math" w:hAnsi="Cambria Math"/>
              </w:rPr>
              <m:t>b</m:t>
            </m:r>
          </m:e>
          <m:sub>
            <m:r>
              <w:rPr>
                <w:rFonts w:ascii="Cambria Math" w:hAnsi="Cambria Math"/>
              </w:rPr>
              <m:t>on-farm</m:t>
            </m:r>
          </m:sub>
        </m:sSub>
        <m:r>
          <w:rPr>
            <w:rFonts w:ascii="Cambria Math" w:hAnsi="Cambria Math"/>
          </w:rPr>
          <m:t>=1,</m:t>
        </m:r>
        <m:sSub>
          <m:sSubPr>
            <m:ctrlPr>
              <w:rPr>
                <w:rFonts w:ascii="Cambria Math" w:hAnsi="Cambria Math"/>
              </w:rPr>
            </m:ctrlPr>
          </m:sSubPr>
          <m:e>
            <m:r>
              <w:rPr>
                <w:rFonts w:ascii="Cambria Math" w:hAnsi="Cambria Math"/>
              </w:rPr>
              <m:t>b</m:t>
            </m:r>
          </m:e>
          <m:sub>
            <m:r>
              <w:rPr>
                <w:rFonts w:ascii="Cambria Math" w:hAnsi="Cambria Math"/>
              </w:rPr>
              <m:t>buyback</m:t>
            </m:r>
          </m:sub>
        </m:sSub>
        <m:r>
          <w:rPr>
            <w:rFonts w:ascii="Cambria Math" w:hAnsi="Cambria Math"/>
          </w:rPr>
          <m:t>=0</m:t>
        </m:r>
      </m:oMath>
      <w:r w:rsidR="004A7A6E">
        <w:t>)</w:t>
      </w:r>
      <w:r w:rsidR="002723F5">
        <w:t>.</w:t>
      </w:r>
      <w:r w:rsidR="00BE7111">
        <w:t xml:space="preserve"> </w:t>
      </w:r>
    </w:p>
    <w:p w:rsidR="002723F5" w:rsidRDefault="004D407F" w:rsidP="002723F5">
      <w:pPr>
        <w:pStyle w:val="BodyText"/>
      </w:pPr>
      <m:oMathPara>
        <m:oMathParaPr>
          <m:jc m:val="center"/>
        </m:oMathParaPr>
        <m:oMath>
          <m:sSub>
            <m:sSubPr>
              <m:ctrlPr>
                <w:rPr>
                  <w:rFonts w:ascii="Cambria Math" w:hAnsi="Cambria Math"/>
                </w:rPr>
              </m:ctrlPr>
            </m:sSubPr>
            <m:e>
              <m:groupChr>
                <m:groupChrPr>
                  <m:chr m:val="̃"/>
                  <m:pos m:val="top"/>
                  <m:vertJc m:val="bot"/>
                  <m:ctrlPr>
                    <w:rPr>
                      <w:rFonts w:ascii="Cambria Math" w:hAnsi="Cambria Math"/>
                    </w:rPr>
                  </m:ctrlPr>
                </m:groupChrPr>
                <m:e>
                  <m:r>
                    <w:rPr>
                      <w:rFonts w:ascii="Cambria Math" w:hAnsi="Cambria Math"/>
                    </w:rPr>
                    <m:t>B</m:t>
                  </m:r>
                </m:e>
              </m:groupChr>
            </m:e>
            <m:sub>
              <m:r>
                <w:rPr>
                  <w:rFonts w:ascii="Cambria Math" w:hAnsi="Cambria Math"/>
                </w:rPr>
                <m:t>hik</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k</m:t>
              </m:r>
            </m:sub>
          </m:sSub>
          <m:r>
            <w:rPr>
              <w:rFonts w:ascii="Cambria Math" w:hAnsi="Cambria Math"/>
            </w:rPr>
            <m:t>.</m:t>
          </m:r>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B</m:t>
                  </m:r>
                </m:e>
                <m:sub>
                  <m:r>
                    <w:rPr>
                      <w:rFonts w:ascii="Cambria Math" w:hAnsi="Cambria Math"/>
                    </w:rPr>
                    <m:t>hiTk</m:t>
                  </m:r>
                </m:sub>
              </m:sSub>
            </m:e>
          </m:nary>
          <m:r>
            <w:rPr>
              <w:rFonts w:ascii="Cambria Math" w:hAnsi="Cambria Math"/>
            </w:rPr>
            <m:t>.</m:t>
          </m:r>
          <m:f>
            <m:fPr>
              <m:ctrlPr>
                <w:rPr>
                  <w:rFonts w:ascii="Cambria Math" w:hAnsi="Cambria Math"/>
                </w:rPr>
              </m:ctrlPr>
            </m:fPr>
            <m:num>
              <m:bar>
                <m:barPr>
                  <m:pos m:val="top"/>
                  <m:ctrlPr>
                    <w:rPr>
                      <w:rFonts w:ascii="Cambria Math" w:hAnsi="Cambria Math"/>
                    </w:rPr>
                  </m:ctrlPr>
                </m:barPr>
                <m:e>
                  <m:r>
                    <w:rPr>
                      <w:rFonts w:ascii="Cambria Math" w:hAnsi="Cambria Math"/>
                    </w:rPr>
                    <m:t>B</m:t>
                  </m:r>
                </m:e>
              </m:bar>
            </m:num>
            <m:den>
              <m:nary>
                <m:naryPr>
                  <m:chr m:val="∑"/>
                  <m:limLoc m:val="undOvr"/>
                  <m:supHide m:val="1"/>
                  <m:ctrlPr>
                    <w:rPr>
                      <w:rFonts w:ascii="Cambria Math" w:hAnsi="Cambria Math"/>
                    </w:rPr>
                  </m:ctrlPr>
                </m:naryPr>
                <m:sub>
                  <m:r>
                    <w:rPr>
                      <w:rFonts w:ascii="Cambria Math" w:hAnsi="Cambria Math"/>
                    </w:rPr>
                    <m:t>i</m:t>
                  </m:r>
                </m:sub>
                <m:sup/>
                <m:e>
                  <m:nary>
                    <m:naryPr>
                      <m:chr m:val="∑"/>
                      <m:limLoc m:val="undOvr"/>
                      <m:supHide m:val="1"/>
                      <m:ctrlPr>
                        <w:rPr>
                          <w:rFonts w:ascii="Cambria Math" w:hAnsi="Cambria Math"/>
                        </w:rPr>
                      </m:ctrlPr>
                    </m:naryPr>
                    <m:sub>
                      <m:r>
                        <w:rPr>
                          <w:rFonts w:ascii="Cambria Math" w:hAnsi="Cambria Math"/>
                        </w:rPr>
                        <m:t>h</m:t>
                      </m:r>
                    </m:sub>
                    <m:sup/>
                    <m:e>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B</m:t>
                              </m:r>
                            </m:e>
                            <m:sub>
                              <m:r>
                                <w:rPr>
                                  <w:rFonts w:ascii="Cambria Math" w:hAnsi="Cambria Math"/>
                                </w:rPr>
                                <m:t>hiTk</m:t>
                              </m:r>
                            </m:sub>
                          </m:sSub>
                        </m:e>
                      </m:nary>
                    </m:e>
                  </m:nary>
                </m:e>
              </m:nary>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hi</m:t>
                  </m:r>
                </m:sub>
              </m:sSub>
            </m:den>
          </m:f>
        </m:oMath>
      </m:oMathPara>
    </w:p>
    <w:p w:rsidR="002723F5" w:rsidRDefault="004D407F" w:rsidP="002723F5">
      <m:oMathPara>
        <m:oMathParaPr>
          <m:jc m:val="center"/>
        </m:oMathParaPr>
        <m:oMath>
          <m:sSub>
            <m:sSubPr>
              <m:ctrlPr>
                <w:rPr>
                  <w:rFonts w:ascii="Cambria Math" w:hAnsi="Cambria Math"/>
                </w:rPr>
              </m:ctrlPr>
            </m:sSubPr>
            <m:e>
              <m:groupChr>
                <m:groupChrPr>
                  <m:chr m:val="̃"/>
                  <m:pos m:val="top"/>
                  <m:vertJc m:val="bot"/>
                  <m:ctrlPr>
                    <w:rPr>
                      <w:rFonts w:ascii="Cambria Math" w:hAnsi="Cambria Math"/>
                    </w:rPr>
                  </m:ctrlPr>
                </m:groupChrPr>
                <m:e>
                  <m:r>
                    <w:rPr>
                      <w:rFonts w:ascii="Cambria Math" w:hAnsi="Cambria Math"/>
                    </w:rPr>
                    <m:t>E</m:t>
                  </m:r>
                </m:e>
              </m:groupChr>
            </m:e>
            <m:sub>
              <m:r>
                <w:rPr>
                  <w:rFonts w:ascii="Cambria Math" w:hAnsi="Cambria Math"/>
                </w:rPr>
                <m:t>ih</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hiT</m:t>
              </m:r>
            </m:sub>
          </m:sSub>
          <m:r>
            <w:rPr>
              <w:rFonts w:ascii="Cambria Math" w:hAnsi="Cambria Math"/>
            </w:rPr>
            <m:t>-</m:t>
          </m:r>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B</m:t>
                  </m:r>
                </m:e>
                <m:sub>
                  <m:r>
                    <w:rPr>
                      <w:rFonts w:ascii="Cambria Math" w:hAnsi="Cambria Math"/>
                    </w:rPr>
                    <m:t>hiTk</m:t>
                  </m:r>
                </m:sub>
              </m:sSub>
            </m:e>
          </m:nary>
        </m:oMath>
      </m:oMathPara>
    </w:p>
    <w:p w:rsidR="002723F5" w:rsidRDefault="004D407F" w:rsidP="002723F5">
      <m:oMathPara>
        <m:oMathParaPr>
          <m:jc m:val="center"/>
        </m:oMathParaPr>
        <m:oMath>
          <m:sSub>
            <m:sSubPr>
              <m:ctrlPr>
                <w:rPr>
                  <w:rFonts w:ascii="Cambria Math" w:hAnsi="Cambria Math"/>
                </w:rPr>
              </m:ctrlPr>
            </m:sSubPr>
            <m:e>
              <m:groupChr>
                <m:groupChrPr>
                  <m:chr m:val="̃"/>
                  <m:pos m:val="top"/>
                  <m:vertJc m:val="bot"/>
                  <m:ctrlPr>
                    <w:rPr>
                      <w:rFonts w:ascii="Cambria Math" w:hAnsi="Cambria Math"/>
                    </w:rPr>
                  </m:ctrlPr>
                </m:groupChrPr>
                <m:e>
                  <m:r>
                    <w:rPr>
                      <w:rFonts w:ascii="Cambria Math" w:hAnsi="Cambria Math"/>
                    </w:rPr>
                    <m:t>B</m:t>
                  </m:r>
                </m:e>
              </m:groupChr>
            </m:e>
            <m:sub>
              <m:r>
                <w:rPr>
                  <w:rFonts w:ascii="Cambria Math" w:hAnsi="Cambria Math"/>
                </w:rPr>
                <m:t>hi</m:t>
              </m:r>
            </m:sub>
          </m:sSub>
          <m:r>
            <w:rPr>
              <w:rFonts w:ascii="Cambria Math" w:hAnsi="Cambria Math"/>
            </w:rPr>
            <m:t>≤</m:t>
          </m:r>
          <m:sSub>
            <m:sSubPr>
              <m:ctrlPr>
                <w:rPr>
                  <w:rFonts w:ascii="Cambria Math" w:hAnsi="Cambria Math"/>
                </w:rPr>
              </m:ctrlPr>
            </m:sSubPr>
            <m:e>
              <m:groupChr>
                <m:groupChrPr>
                  <m:chr m:val="̃"/>
                  <m:pos m:val="top"/>
                  <m:vertJc m:val="bot"/>
                  <m:ctrlPr>
                    <w:rPr>
                      <w:rFonts w:ascii="Cambria Math" w:hAnsi="Cambria Math"/>
                    </w:rPr>
                  </m:ctrlPr>
                </m:groupChrPr>
                <m:e>
                  <m:r>
                    <w:rPr>
                      <w:rFonts w:ascii="Cambria Math" w:hAnsi="Cambria Math"/>
                    </w:rPr>
                    <m:t>E</m:t>
                  </m:r>
                </m:e>
              </m:groupChr>
            </m:e>
            <m:sub>
              <m:r>
                <w:rPr>
                  <w:rFonts w:ascii="Cambria Math" w:hAnsi="Cambria Math"/>
                </w:rPr>
                <m:t>ih</m:t>
              </m:r>
            </m:sub>
          </m:sSub>
        </m:oMath>
      </m:oMathPara>
    </w:p>
    <w:p w:rsidR="002723F5" w:rsidRDefault="002723F5" w:rsidP="002723F5">
      <w:r>
        <w:t xml:space="preserve">Here </w:t>
      </w:r>
      <m:oMath>
        <m:sSub>
          <m:sSubPr>
            <m:ctrlPr>
              <w:rPr>
                <w:rFonts w:ascii="Cambria Math" w:hAnsi="Cambria Math"/>
              </w:rPr>
            </m:ctrlPr>
          </m:sSubPr>
          <m:e>
            <m:r>
              <w:rPr>
                <w:rFonts w:ascii="Cambria Math" w:hAnsi="Cambria Math"/>
              </w:rPr>
              <m:t>B</m:t>
            </m:r>
          </m:e>
          <m:sub>
            <m:r>
              <w:rPr>
                <w:rFonts w:ascii="Cambria Math" w:hAnsi="Cambria Math"/>
              </w:rPr>
              <m:t>hiTk</m:t>
            </m:r>
          </m:sub>
        </m:sSub>
      </m:oMath>
      <w:r>
        <w:t xml:space="preserve"> is the volume of entitlement recovered to-date (by region</w:t>
      </w:r>
      <w:r w:rsidR="00BE7111">
        <w:t xml:space="preserve"> </w:t>
      </w:r>
      <w:proofErr w:type="spellStart"/>
      <w:r w:rsidR="00AF46A9" w:rsidRPr="00AF46A9">
        <w:rPr>
          <w:i/>
        </w:rPr>
        <w:t>i</w:t>
      </w:r>
      <w:proofErr w:type="spellEnd"/>
      <w:r>
        <w:t>, entitlement type</w:t>
      </w:r>
      <w:r w:rsidR="00BE7111">
        <w:t xml:space="preserve"> </w:t>
      </w:r>
      <w:r w:rsidR="00BE7111" w:rsidRPr="00BE7111">
        <w:rPr>
          <w:i/>
        </w:rPr>
        <w:t>h</w:t>
      </w:r>
      <w:r>
        <w:t xml:space="preserve"> and recovery method</w:t>
      </w:r>
      <w:r w:rsidR="00BE7111">
        <w:t xml:space="preserve"> </w:t>
      </w:r>
      <w:r w:rsidR="00BE7111" w:rsidRPr="00BE7111">
        <w:rPr>
          <w:i/>
        </w:rPr>
        <w:t>k</w:t>
      </w:r>
      <w:r w:rsidR="00BE7111">
        <w:rPr>
          <w:i/>
        </w:rPr>
        <w:t xml:space="preserve">, </w:t>
      </w:r>
      <w:r w:rsidR="00BE7111">
        <w:t xml:space="preserve">and where </w:t>
      </w:r>
      <w:r w:rsidR="00BE7111">
        <w:rPr>
          <w:i/>
        </w:rPr>
        <w:t xml:space="preserve">T </w:t>
      </w:r>
      <w:r w:rsidR="00BE7111">
        <w:t>is the last time period, 2018-19</w:t>
      </w:r>
      <w:r>
        <w:t>).</w:t>
      </w:r>
    </w:p>
    <w:p w:rsidR="00180367" w:rsidRDefault="00180367" w:rsidP="002723F5">
      <w:r>
        <w:t xml:space="preserve">Using these equations, ABARES estimated a hypothetical distribution of additional on-farm water recovery across the </w:t>
      </w:r>
      <w:r w:rsidR="00284054">
        <w:t>MDB</w:t>
      </w:r>
      <w:r w:rsidR="004A7A6E">
        <w:t xml:space="preserve">, which is summarised in Table C2 in </w:t>
      </w:r>
      <w:r w:rsidR="00284054">
        <w:t>LTAAY</w:t>
      </w:r>
      <w:r w:rsidR="004A7A6E">
        <w:t xml:space="preserve"> terms</w:t>
      </w:r>
      <w:r>
        <w:t xml:space="preserve">. </w:t>
      </w:r>
      <w:r w:rsidR="00617E04">
        <w:t>D</w:t>
      </w:r>
      <w:r w:rsidR="00284054">
        <w:t xml:space="preserve">etailed water supply data </w:t>
      </w:r>
      <w:r w:rsidR="00617E04">
        <w:t>is not available</w:t>
      </w:r>
      <w:r w:rsidR="00284054">
        <w:t xml:space="preserve"> for </w:t>
      </w:r>
      <w:r w:rsidR="00617E04">
        <w:t xml:space="preserve">Queensland </w:t>
      </w:r>
      <w:r w:rsidR="00284054">
        <w:t>catchments within the MDB</w:t>
      </w:r>
      <w:r w:rsidR="00617E04">
        <w:t xml:space="preserve">. </w:t>
      </w:r>
      <w:r w:rsidR="00284054">
        <w:t>ABARES assumed 41.7 GL of the future water recovery target of 501.6 GL is recovered in Queensland (based on the proportion of historical water recovered in the region)</w:t>
      </w:r>
      <w:r w:rsidR="00617E04">
        <w:t xml:space="preserve">, leaving </w:t>
      </w:r>
      <w:r w:rsidR="00284054">
        <w:t xml:space="preserve">459.9 GL </w:t>
      </w:r>
      <w:r w:rsidR="00617E04">
        <w:t xml:space="preserve">to be recovered </w:t>
      </w:r>
      <w:r w:rsidR="00284054">
        <w:t xml:space="preserve">across </w:t>
      </w:r>
      <w:r w:rsidR="00617E04">
        <w:t xml:space="preserve">the rest of the basin. </w:t>
      </w:r>
      <w:r>
        <w:t>Future research could seek to update these estimates.</w:t>
      </w:r>
    </w:p>
    <w:p w:rsidR="00AD0584" w:rsidRDefault="00AD0584" w:rsidP="002723F5"/>
    <w:p w:rsidR="00AD0584" w:rsidRDefault="00AD0584" w:rsidP="002723F5"/>
    <w:p w:rsidR="00180367" w:rsidRDefault="00180367" w:rsidP="00180367">
      <w:pPr>
        <w:pStyle w:val="Caption"/>
        <w:rPr>
          <w:rFonts w:asciiTheme="minorHAnsi" w:hAnsiTheme="minorHAnsi"/>
          <w:szCs w:val="24"/>
          <w:lang w:eastAsia="ja-JP"/>
        </w:rPr>
      </w:pPr>
      <w:bookmarkStart w:id="165" w:name="_Toc34735569"/>
      <w:r w:rsidRPr="00180367">
        <w:rPr>
          <w:rFonts w:asciiTheme="minorHAnsi" w:hAnsiTheme="minorHAnsi"/>
          <w:szCs w:val="24"/>
        </w:rPr>
        <w:lastRenderedPageBreak/>
        <w:t>Table C</w:t>
      </w:r>
      <w:r w:rsidRPr="00180367">
        <w:rPr>
          <w:rFonts w:asciiTheme="minorHAnsi" w:hAnsiTheme="minorHAnsi"/>
          <w:noProof/>
          <w:szCs w:val="24"/>
        </w:rPr>
        <w:fldChar w:fldCharType="begin"/>
      </w:r>
      <w:r w:rsidRPr="00180367">
        <w:rPr>
          <w:rFonts w:asciiTheme="minorHAnsi" w:hAnsiTheme="minorHAnsi"/>
          <w:noProof/>
          <w:szCs w:val="24"/>
        </w:rPr>
        <w:instrText xml:space="preserve"> SEQ Table_C \* ARABIC </w:instrText>
      </w:r>
      <w:r w:rsidRPr="00180367">
        <w:rPr>
          <w:rFonts w:asciiTheme="minorHAnsi" w:hAnsiTheme="minorHAnsi"/>
          <w:noProof/>
          <w:szCs w:val="24"/>
        </w:rPr>
        <w:fldChar w:fldCharType="separate"/>
      </w:r>
      <w:r w:rsidR="004D407F">
        <w:rPr>
          <w:rFonts w:asciiTheme="minorHAnsi" w:hAnsiTheme="minorHAnsi"/>
          <w:noProof/>
          <w:szCs w:val="24"/>
        </w:rPr>
        <w:t>2</w:t>
      </w:r>
      <w:r w:rsidRPr="00180367">
        <w:rPr>
          <w:rFonts w:asciiTheme="minorHAnsi" w:hAnsiTheme="minorHAnsi"/>
          <w:noProof/>
          <w:szCs w:val="24"/>
        </w:rPr>
        <w:fldChar w:fldCharType="end"/>
      </w:r>
      <w:r w:rsidRPr="00180367">
        <w:rPr>
          <w:rFonts w:asciiTheme="minorHAnsi" w:hAnsiTheme="minorHAnsi"/>
          <w:szCs w:val="24"/>
          <w:lang w:eastAsia="ja-JP"/>
        </w:rPr>
        <w:t xml:space="preserve"> </w:t>
      </w:r>
      <w:r>
        <w:rPr>
          <w:rFonts w:asciiTheme="minorHAnsi" w:hAnsiTheme="minorHAnsi"/>
          <w:szCs w:val="24"/>
          <w:lang w:eastAsia="ja-JP"/>
        </w:rPr>
        <w:t>Future water recovery through on-farm programs, by entitlement type</w:t>
      </w:r>
      <w:r w:rsidR="004A7A6E">
        <w:rPr>
          <w:rFonts w:asciiTheme="minorHAnsi" w:hAnsiTheme="minorHAnsi"/>
          <w:szCs w:val="24"/>
          <w:lang w:eastAsia="ja-JP"/>
        </w:rPr>
        <w:t xml:space="preserve"> (ML)</w:t>
      </w:r>
      <w:bookmarkEnd w:id="165"/>
    </w:p>
    <w:tbl>
      <w:tblPr>
        <w:tblW w:w="5000" w:type="pct"/>
        <w:tblLook w:val="04A0" w:firstRow="1" w:lastRow="0" w:firstColumn="1" w:lastColumn="0" w:noHBand="0" w:noVBand="1"/>
      </w:tblPr>
      <w:tblGrid>
        <w:gridCol w:w="2895"/>
        <w:gridCol w:w="2059"/>
        <w:gridCol w:w="2059"/>
        <w:gridCol w:w="2057"/>
      </w:tblGrid>
      <w:tr w:rsidR="00180367" w:rsidRPr="000D39AF" w:rsidTr="00447081">
        <w:trPr>
          <w:trHeight w:val="300"/>
        </w:trPr>
        <w:tc>
          <w:tcPr>
            <w:tcW w:w="1596" w:type="pct"/>
            <w:tcBorders>
              <w:top w:val="single" w:sz="4" w:space="0" w:color="auto"/>
              <w:left w:val="nil"/>
              <w:bottom w:val="single" w:sz="4" w:space="0" w:color="auto"/>
              <w:right w:val="nil"/>
            </w:tcBorders>
            <w:shd w:val="clear" w:color="auto" w:fill="auto"/>
            <w:noWrap/>
            <w:vAlign w:val="bottom"/>
            <w:hideMark/>
          </w:tcPr>
          <w:p w:rsidR="00180367" w:rsidRPr="000D39AF" w:rsidRDefault="00180367" w:rsidP="00AE5577">
            <w:pPr>
              <w:pStyle w:val="TableText"/>
              <w:rPr>
                <w:b/>
              </w:rPr>
            </w:pPr>
            <w:r>
              <w:rPr>
                <w:b/>
              </w:rPr>
              <w:t>Irrigation activity</w:t>
            </w:r>
          </w:p>
        </w:tc>
        <w:tc>
          <w:tcPr>
            <w:tcW w:w="1135" w:type="pct"/>
            <w:tcBorders>
              <w:top w:val="single" w:sz="4" w:space="0" w:color="auto"/>
              <w:left w:val="nil"/>
              <w:bottom w:val="single" w:sz="4" w:space="0" w:color="auto"/>
              <w:right w:val="nil"/>
            </w:tcBorders>
            <w:shd w:val="clear" w:color="auto" w:fill="auto"/>
            <w:noWrap/>
            <w:vAlign w:val="bottom"/>
          </w:tcPr>
          <w:p w:rsidR="00180367" w:rsidRPr="000D39AF" w:rsidRDefault="004A7A6E" w:rsidP="00AE5577">
            <w:pPr>
              <w:pStyle w:val="TableText"/>
              <w:jc w:val="right"/>
              <w:rPr>
                <w:b/>
              </w:rPr>
            </w:pPr>
            <w:r>
              <w:rPr>
                <w:b/>
              </w:rPr>
              <w:t>High</w:t>
            </w:r>
          </w:p>
        </w:tc>
        <w:tc>
          <w:tcPr>
            <w:tcW w:w="1135" w:type="pct"/>
            <w:tcBorders>
              <w:top w:val="single" w:sz="4" w:space="0" w:color="auto"/>
              <w:left w:val="nil"/>
              <w:bottom w:val="single" w:sz="4" w:space="0" w:color="auto"/>
              <w:right w:val="nil"/>
            </w:tcBorders>
            <w:shd w:val="clear" w:color="auto" w:fill="auto"/>
            <w:noWrap/>
            <w:vAlign w:val="bottom"/>
          </w:tcPr>
          <w:p w:rsidR="00180367" w:rsidRPr="000D39AF" w:rsidRDefault="004A7A6E" w:rsidP="00AE5577">
            <w:pPr>
              <w:pStyle w:val="TableText"/>
              <w:jc w:val="right"/>
              <w:rPr>
                <w:b/>
              </w:rPr>
            </w:pPr>
            <w:r>
              <w:rPr>
                <w:b/>
              </w:rPr>
              <w:t>Low</w:t>
            </w:r>
          </w:p>
        </w:tc>
        <w:tc>
          <w:tcPr>
            <w:tcW w:w="1134" w:type="pct"/>
            <w:tcBorders>
              <w:top w:val="single" w:sz="4" w:space="0" w:color="auto"/>
              <w:left w:val="nil"/>
              <w:bottom w:val="single" w:sz="4" w:space="0" w:color="auto"/>
              <w:right w:val="nil"/>
            </w:tcBorders>
          </w:tcPr>
          <w:p w:rsidR="00180367" w:rsidRDefault="004A7A6E" w:rsidP="00AE5577">
            <w:pPr>
              <w:pStyle w:val="TableText"/>
              <w:jc w:val="right"/>
              <w:rPr>
                <w:b/>
              </w:rPr>
            </w:pPr>
            <w:r>
              <w:rPr>
                <w:b/>
              </w:rPr>
              <w:t>Supplementary</w:t>
            </w:r>
          </w:p>
        </w:tc>
      </w:tr>
      <w:tr w:rsidR="00447081" w:rsidRPr="000D39AF" w:rsidTr="00447081">
        <w:trPr>
          <w:trHeight w:val="300"/>
        </w:trPr>
        <w:tc>
          <w:tcPr>
            <w:tcW w:w="1596" w:type="pct"/>
            <w:tcBorders>
              <w:top w:val="single" w:sz="4" w:space="0" w:color="auto"/>
              <w:left w:val="nil"/>
              <w:right w:val="nil"/>
            </w:tcBorders>
            <w:shd w:val="clear" w:color="auto" w:fill="auto"/>
            <w:noWrap/>
          </w:tcPr>
          <w:p w:rsidR="00447081" w:rsidRPr="00447081" w:rsidRDefault="00447081" w:rsidP="004A7A6E">
            <w:pPr>
              <w:pStyle w:val="TableText"/>
              <w:rPr>
                <w:b/>
              </w:rPr>
            </w:pPr>
            <w:r w:rsidRPr="00447081">
              <w:rPr>
                <w:b/>
              </w:rPr>
              <w:t>Northern Murray-Darling Basin</w:t>
            </w:r>
          </w:p>
        </w:tc>
        <w:tc>
          <w:tcPr>
            <w:tcW w:w="1135" w:type="pct"/>
            <w:tcBorders>
              <w:top w:val="single" w:sz="4" w:space="0" w:color="auto"/>
              <w:left w:val="nil"/>
              <w:right w:val="nil"/>
            </w:tcBorders>
            <w:shd w:val="clear" w:color="auto" w:fill="auto"/>
            <w:noWrap/>
          </w:tcPr>
          <w:p w:rsidR="00447081" w:rsidRPr="00751320" w:rsidRDefault="00447081" w:rsidP="004A7A6E">
            <w:pPr>
              <w:pStyle w:val="TableText"/>
              <w:jc w:val="right"/>
            </w:pPr>
          </w:p>
        </w:tc>
        <w:tc>
          <w:tcPr>
            <w:tcW w:w="1135" w:type="pct"/>
            <w:tcBorders>
              <w:top w:val="single" w:sz="4" w:space="0" w:color="auto"/>
              <w:left w:val="nil"/>
              <w:right w:val="nil"/>
            </w:tcBorders>
            <w:shd w:val="clear" w:color="auto" w:fill="auto"/>
            <w:noWrap/>
          </w:tcPr>
          <w:p w:rsidR="00447081" w:rsidRPr="00751320" w:rsidRDefault="00447081" w:rsidP="004A7A6E">
            <w:pPr>
              <w:pStyle w:val="TableText"/>
              <w:jc w:val="right"/>
            </w:pPr>
          </w:p>
        </w:tc>
        <w:tc>
          <w:tcPr>
            <w:tcW w:w="1134" w:type="pct"/>
            <w:tcBorders>
              <w:top w:val="single" w:sz="4" w:space="0" w:color="auto"/>
              <w:left w:val="nil"/>
              <w:right w:val="nil"/>
            </w:tcBorders>
          </w:tcPr>
          <w:p w:rsidR="00447081" w:rsidRPr="00751320" w:rsidRDefault="00447081" w:rsidP="004A7A6E">
            <w:pPr>
              <w:pStyle w:val="TableText"/>
              <w:jc w:val="right"/>
            </w:pPr>
          </w:p>
        </w:tc>
      </w:tr>
      <w:tr w:rsidR="004A7A6E" w:rsidRPr="000D39AF" w:rsidTr="00447081">
        <w:trPr>
          <w:trHeight w:val="300"/>
        </w:trPr>
        <w:tc>
          <w:tcPr>
            <w:tcW w:w="1596" w:type="pct"/>
            <w:tcBorders>
              <w:left w:val="nil"/>
              <w:bottom w:val="nil"/>
              <w:right w:val="nil"/>
            </w:tcBorders>
            <w:shd w:val="clear" w:color="auto" w:fill="auto"/>
            <w:noWrap/>
            <w:hideMark/>
          </w:tcPr>
          <w:p w:rsidR="004A7A6E" w:rsidRPr="005332FF" w:rsidRDefault="004A7A6E" w:rsidP="00447081">
            <w:pPr>
              <w:pStyle w:val="TableText"/>
              <w:ind w:left="720" w:hanging="544"/>
            </w:pPr>
            <w:r w:rsidRPr="005332FF">
              <w:t>NSW Border Rivers</w:t>
            </w:r>
          </w:p>
        </w:tc>
        <w:tc>
          <w:tcPr>
            <w:tcW w:w="1135" w:type="pct"/>
            <w:tcBorders>
              <w:left w:val="nil"/>
              <w:bottom w:val="nil"/>
              <w:right w:val="nil"/>
            </w:tcBorders>
            <w:shd w:val="clear" w:color="auto" w:fill="auto"/>
            <w:noWrap/>
          </w:tcPr>
          <w:p w:rsidR="004A7A6E" w:rsidRPr="00751320" w:rsidRDefault="004A7A6E" w:rsidP="004A7A6E">
            <w:pPr>
              <w:pStyle w:val="TableText"/>
              <w:jc w:val="right"/>
            </w:pPr>
            <w:r w:rsidRPr="00751320">
              <w:t>0</w:t>
            </w:r>
          </w:p>
        </w:tc>
        <w:tc>
          <w:tcPr>
            <w:tcW w:w="1135" w:type="pct"/>
            <w:tcBorders>
              <w:left w:val="nil"/>
              <w:bottom w:val="nil"/>
              <w:right w:val="nil"/>
            </w:tcBorders>
            <w:shd w:val="clear" w:color="auto" w:fill="auto"/>
            <w:noWrap/>
          </w:tcPr>
          <w:p w:rsidR="004A7A6E" w:rsidRPr="00751320" w:rsidRDefault="004A7A6E" w:rsidP="004A7A6E">
            <w:pPr>
              <w:pStyle w:val="TableText"/>
              <w:jc w:val="right"/>
            </w:pPr>
            <w:r w:rsidRPr="00751320">
              <w:t>366</w:t>
            </w:r>
          </w:p>
        </w:tc>
        <w:tc>
          <w:tcPr>
            <w:tcW w:w="1134" w:type="pct"/>
            <w:tcBorders>
              <w:left w:val="nil"/>
              <w:bottom w:val="nil"/>
              <w:right w:val="nil"/>
            </w:tcBorders>
          </w:tcPr>
          <w:p w:rsidR="004A7A6E" w:rsidRPr="00751320" w:rsidRDefault="004A7A6E" w:rsidP="004A7A6E">
            <w:pPr>
              <w:pStyle w:val="TableText"/>
              <w:jc w:val="right"/>
            </w:pPr>
            <w:r w:rsidRPr="00751320">
              <w:t>388</w:t>
            </w:r>
          </w:p>
        </w:tc>
      </w:tr>
      <w:tr w:rsidR="004A7A6E" w:rsidRPr="000D39AF" w:rsidTr="004A7A6E">
        <w:trPr>
          <w:trHeight w:val="300"/>
        </w:trPr>
        <w:tc>
          <w:tcPr>
            <w:tcW w:w="1596" w:type="pct"/>
            <w:tcBorders>
              <w:top w:val="nil"/>
              <w:left w:val="nil"/>
              <w:bottom w:val="nil"/>
              <w:right w:val="nil"/>
            </w:tcBorders>
            <w:shd w:val="clear" w:color="auto" w:fill="auto"/>
            <w:noWrap/>
            <w:hideMark/>
          </w:tcPr>
          <w:p w:rsidR="004A7A6E" w:rsidRPr="005332FF" w:rsidRDefault="004A7A6E" w:rsidP="00447081">
            <w:pPr>
              <w:pStyle w:val="TableText"/>
              <w:ind w:left="720" w:hanging="544"/>
            </w:pPr>
            <w:r w:rsidRPr="005332FF">
              <w:t>NSW Gwydir</w:t>
            </w:r>
          </w:p>
        </w:tc>
        <w:tc>
          <w:tcPr>
            <w:tcW w:w="1135" w:type="pct"/>
            <w:tcBorders>
              <w:top w:val="nil"/>
              <w:left w:val="nil"/>
              <w:bottom w:val="nil"/>
              <w:right w:val="nil"/>
            </w:tcBorders>
            <w:shd w:val="clear" w:color="auto" w:fill="auto"/>
            <w:noWrap/>
          </w:tcPr>
          <w:p w:rsidR="004A7A6E" w:rsidRPr="00751320" w:rsidRDefault="004A7A6E" w:rsidP="004A7A6E">
            <w:pPr>
              <w:pStyle w:val="TableText"/>
              <w:jc w:val="right"/>
            </w:pPr>
            <w:r w:rsidRPr="00751320">
              <w:t>1,547</w:t>
            </w:r>
          </w:p>
        </w:tc>
        <w:tc>
          <w:tcPr>
            <w:tcW w:w="1135" w:type="pct"/>
            <w:tcBorders>
              <w:top w:val="nil"/>
              <w:left w:val="nil"/>
              <w:bottom w:val="nil"/>
              <w:right w:val="nil"/>
            </w:tcBorders>
            <w:shd w:val="clear" w:color="auto" w:fill="auto"/>
            <w:noWrap/>
          </w:tcPr>
          <w:p w:rsidR="004A7A6E" w:rsidRPr="00751320" w:rsidRDefault="004A7A6E" w:rsidP="004A7A6E">
            <w:pPr>
              <w:pStyle w:val="TableText"/>
              <w:jc w:val="right"/>
            </w:pPr>
            <w:r w:rsidRPr="00751320">
              <w:t>13,179</w:t>
            </w:r>
          </w:p>
        </w:tc>
        <w:tc>
          <w:tcPr>
            <w:tcW w:w="1134" w:type="pct"/>
            <w:tcBorders>
              <w:top w:val="nil"/>
              <w:left w:val="nil"/>
              <w:bottom w:val="nil"/>
              <w:right w:val="nil"/>
            </w:tcBorders>
          </w:tcPr>
          <w:p w:rsidR="004A7A6E" w:rsidRPr="00751320" w:rsidRDefault="004A7A6E" w:rsidP="004A7A6E">
            <w:pPr>
              <w:pStyle w:val="TableText"/>
              <w:jc w:val="right"/>
            </w:pPr>
            <w:r w:rsidRPr="00751320">
              <w:t>3,842</w:t>
            </w:r>
          </w:p>
        </w:tc>
      </w:tr>
      <w:tr w:rsidR="004A7A6E" w:rsidRPr="000D39AF" w:rsidTr="004A7A6E">
        <w:trPr>
          <w:trHeight w:val="300"/>
        </w:trPr>
        <w:tc>
          <w:tcPr>
            <w:tcW w:w="1596" w:type="pct"/>
            <w:tcBorders>
              <w:top w:val="nil"/>
              <w:left w:val="nil"/>
              <w:bottom w:val="nil"/>
              <w:right w:val="nil"/>
            </w:tcBorders>
            <w:shd w:val="clear" w:color="auto" w:fill="auto"/>
            <w:noWrap/>
          </w:tcPr>
          <w:p w:rsidR="004A7A6E" w:rsidRPr="005332FF" w:rsidRDefault="004A7A6E" w:rsidP="00447081">
            <w:pPr>
              <w:pStyle w:val="TableText"/>
              <w:ind w:firstLine="176"/>
            </w:pPr>
            <w:r w:rsidRPr="005332FF">
              <w:t>NSW Lachlan</w:t>
            </w:r>
          </w:p>
        </w:tc>
        <w:tc>
          <w:tcPr>
            <w:tcW w:w="1135" w:type="pct"/>
            <w:tcBorders>
              <w:top w:val="nil"/>
              <w:left w:val="nil"/>
              <w:bottom w:val="nil"/>
              <w:right w:val="nil"/>
            </w:tcBorders>
            <w:shd w:val="clear" w:color="auto" w:fill="auto"/>
            <w:noWrap/>
          </w:tcPr>
          <w:p w:rsidR="004A7A6E" w:rsidRPr="00751320" w:rsidRDefault="004A7A6E" w:rsidP="004A7A6E">
            <w:pPr>
              <w:pStyle w:val="TableText"/>
              <w:jc w:val="right"/>
            </w:pPr>
            <w:r w:rsidRPr="00751320">
              <w:t>335</w:t>
            </w:r>
          </w:p>
        </w:tc>
        <w:tc>
          <w:tcPr>
            <w:tcW w:w="1135" w:type="pct"/>
            <w:tcBorders>
              <w:top w:val="nil"/>
              <w:left w:val="nil"/>
              <w:bottom w:val="nil"/>
              <w:right w:val="nil"/>
            </w:tcBorders>
            <w:shd w:val="clear" w:color="auto" w:fill="auto"/>
            <w:noWrap/>
          </w:tcPr>
          <w:p w:rsidR="004A7A6E" w:rsidRPr="00751320" w:rsidRDefault="004A7A6E" w:rsidP="004A7A6E">
            <w:pPr>
              <w:pStyle w:val="TableText"/>
              <w:jc w:val="right"/>
            </w:pPr>
            <w:r w:rsidRPr="00751320">
              <w:t>13,334</w:t>
            </w:r>
          </w:p>
        </w:tc>
        <w:tc>
          <w:tcPr>
            <w:tcW w:w="1134" w:type="pct"/>
            <w:tcBorders>
              <w:top w:val="nil"/>
              <w:left w:val="nil"/>
              <w:bottom w:val="nil"/>
              <w:right w:val="nil"/>
            </w:tcBorders>
          </w:tcPr>
          <w:p w:rsidR="004A7A6E" w:rsidRPr="00751320" w:rsidRDefault="004A7A6E" w:rsidP="004A7A6E">
            <w:pPr>
              <w:pStyle w:val="TableText"/>
              <w:jc w:val="right"/>
            </w:pPr>
            <w:r w:rsidRPr="00751320">
              <w:t>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NSW Macquarie-Castlereagh</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0</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12,903</w:t>
            </w:r>
          </w:p>
        </w:tc>
        <w:tc>
          <w:tcPr>
            <w:tcW w:w="1134" w:type="pct"/>
            <w:tcBorders>
              <w:top w:val="nil"/>
              <w:left w:val="nil"/>
              <w:bottom w:val="nil"/>
              <w:right w:val="nil"/>
            </w:tcBorders>
          </w:tcPr>
          <w:p w:rsidR="00447081" w:rsidRPr="00751320" w:rsidRDefault="00447081" w:rsidP="00447081">
            <w:pPr>
              <w:pStyle w:val="TableText"/>
              <w:jc w:val="right"/>
            </w:pPr>
            <w:r w:rsidRPr="00751320">
              <w:t>430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NSW Namoi</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0</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3,983</w:t>
            </w:r>
          </w:p>
        </w:tc>
        <w:tc>
          <w:tcPr>
            <w:tcW w:w="1134" w:type="pct"/>
            <w:tcBorders>
              <w:top w:val="nil"/>
              <w:left w:val="nil"/>
              <w:bottom w:val="nil"/>
              <w:right w:val="nil"/>
            </w:tcBorders>
          </w:tcPr>
          <w:p w:rsidR="00447081" w:rsidRPr="00751320" w:rsidRDefault="00447081" w:rsidP="00447081">
            <w:pPr>
              <w:pStyle w:val="TableText"/>
              <w:jc w:val="right"/>
            </w:pPr>
            <w:r w:rsidRPr="00751320">
              <w:t>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447081" w:rsidRDefault="00447081" w:rsidP="00447081">
            <w:pPr>
              <w:pStyle w:val="TableText"/>
              <w:rPr>
                <w:b/>
              </w:rPr>
            </w:pPr>
            <w:r w:rsidRPr="00447081">
              <w:rPr>
                <w:b/>
              </w:rPr>
              <w:t>Southern Murray-Darling Basin</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p>
        </w:tc>
        <w:tc>
          <w:tcPr>
            <w:tcW w:w="1134" w:type="pct"/>
            <w:tcBorders>
              <w:top w:val="nil"/>
              <w:left w:val="nil"/>
              <w:bottom w:val="nil"/>
              <w:right w:val="nil"/>
            </w:tcBorders>
          </w:tcPr>
          <w:p w:rsidR="00447081" w:rsidRPr="00751320" w:rsidRDefault="00447081" w:rsidP="00447081">
            <w:pPr>
              <w:pStyle w:val="TableText"/>
              <w:jc w:val="right"/>
            </w:pP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left="720" w:hanging="544"/>
            </w:pPr>
            <w:r w:rsidRPr="005332FF">
              <w:t>NSW Lower Darling</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874</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7,777</w:t>
            </w:r>
          </w:p>
        </w:tc>
        <w:tc>
          <w:tcPr>
            <w:tcW w:w="1134" w:type="pct"/>
            <w:tcBorders>
              <w:top w:val="nil"/>
              <w:left w:val="nil"/>
              <w:bottom w:val="nil"/>
              <w:right w:val="nil"/>
            </w:tcBorders>
          </w:tcPr>
          <w:p w:rsidR="00447081" w:rsidRPr="00751320" w:rsidRDefault="00447081" w:rsidP="00447081">
            <w:pPr>
              <w:pStyle w:val="TableText"/>
              <w:jc w:val="right"/>
            </w:pPr>
            <w:r w:rsidRPr="00751320">
              <w:t>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NSW Murray Above</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0</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73,905</w:t>
            </w:r>
          </w:p>
        </w:tc>
        <w:tc>
          <w:tcPr>
            <w:tcW w:w="1134" w:type="pct"/>
            <w:tcBorders>
              <w:top w:val="nil"/>
              <w:left w:val="nil"/>
              <w:bottom w:val="nil"/>
              <w:right w:val="nil"/>
            </w:tcBorders>
          </w:tcPr>
          <w:p w:rsidR="00447081" w:rsidRPr="00751320" w:rsidRDefault="00447081" w:rsidP="00447081">
            <w:pPr>
              <w:pStyle w:val="TableText"/>
              <w:jc w:val="right"/>
            </w:pPr>
            <w:r w:rsidRPr="00751320">
              <w:t>32</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NSW Murray Below</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5,820</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18,194</w:t>
            </w:r>
          </w:p>
        </w:tc>
        <w:tc>
          <w:tcPr>
            <w:tcW w:w="1134" w:type="pct"/>
            <w:tcBorders>
              <w:top w:val="nil"/>
              <w:left w:val="nil"/>
              <w:bottom w:val="nil"/>
              <w:right w:val="nil"/>
            </w:tcBorders>
          </w:tcPr>
          <w:p w:rsidR="00447081" w:rsidRPr="00751320" w:rsidRDefault="00447081" w:rsidP="00447081">
            <w:pPr>
              <w:pStyle w:val="TableText"/>
              <w:jc w:val="right"/>
            </w:pPr>
            <w:r w:rsidRPr="00751320">
              <w:t>26</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NSW Murrumbidgee</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4,613</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57,631</w:t>
            </w:r>
          </w:p>
        </w:tc>
        <w:tc>
          <w:tcPr>
            <w:tcW w:w="1134" w:type="pct"/>
            <w:tcBorders>
              <w:top w:val="nil"/>
              <w:left w:val="nil"/>
              <w:bottom w:val="nil"/>
              <w:right w:val="nil"/>
            </w:tcBorders>
          </w:tcPr>
          <w:p w:rsidR="00447081" w:rsidRPr="00751320" w:rsidRDefault="00447081" w:rsidP="00447081">
            <w:pPr>
              <w:pStyle w:val="TableText"/>
              <w:jc w:val="right"/>
            </w:pPr>
            <w:r w:rsidRPr="00751320">
              <w:t>5,699</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SA Murray</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52,200</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0</w:t>
            </w:r>
          </w:p>
        </w:tc>
        <w:tc>
          <w:tcPr>
            <w:tcW w:w="1134" w:type="pct"/>
            <w:tcBorders>
              <w:top w:val="nil"/>
              <w:left w:val="nil"/>
              <w:bottom w:val="nil"/>
              <w:right w:val="nil"/>
            </w:tcBorders>
          </w:tcPr>
          <w:p w:rsidR="00447081" w:rsidRPr="00751320" w:rsidRDefault="00447081" w:rsidP="00447081">
            <w:pPr>
              <w:pStyle w:val="TableText"/>
              <w:jc w:val="right"/>
            </w:pPr>
            <w:r w:rsidRPr="00751320">
              <w:t>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VIC Goulburn-Broken</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81,296</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1,859</w:t>
            </w:r>
          </w:p>
        </w:tc>
        <w:tc>
          <w:tcPr>
            <w:tcW w:w="1134" w:type="pct"/>
            <w:tcBorders>
              <w:top w:val="nil"/>
              <w:left w:val="nil"/>
              <w:bottom w:val="nil"/>
              <w:right w:val="nil"/>
            </w:tcBorders>
          </w:tcPr>
          <w:p w:rsidR="00447081" w:rsidRPr="00751320" w:rsidRDefault="00447081" w:rsidP="00447081">
            <w:pPr>
              <w:pStyle w:val="TableText"/>
              <w:jc w:val="right"/>
            </w:pPr>
            <w:r w:rsidRPr="00751320">
              <w:t>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VIC Loddon-Campaspe</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3,673</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96</w:t>
            </w:r>
          </w:p>
        </w:tc>
        <w:tc>
          <w:tcPr>
            <w:tcW w:w="1134" w:type="pct"/>
            <w:tcBorders>
              <w:top w:val="nil"/>
              <w:left w:val="nil"/>
              <w:bottom w:val="nil"/>
              <w:right w:val="nil"/>
            </w:tcBorders>
          </w:tcPr>
          <w:p w:rsidR="00447081" w:rsidRPr="00751320" w:rsidRDefault="00447081" w:rsidP="00447081">
            <w:pPr>
              <w:pStyle w:val="TableText"/>
              <w:jc w:val="right"/>
            </w:pPr>
            <w:r w:rsidRPr="00751320">
              <w:t>0</w:t>
            </w:r>
          </w:p>
        </w:tc>
      </w:tr>
      <w:tr w:rsidR="00447081" w:rsidRPr="000D39AF" w:rsidTr="004A7A6E">
        <w:trPr>
          <w:trHeight w:val="300"/>
        </w:trPr>
        <w:tc>
          <w:tcPr>
            <w:tcW w:w="1596" w:type="pct"/>
            <w:tcBorders>
              <w:top w:val="nil"/>
              <w:left w:val="nil"/>
              <w:bottom w:val="nil"/>
              <w:right w:val="nil"/>
            </w:tcBorders>
            <w:shd w:val="clear" w:color="auto" w:fill="auto"/>
            <w:noWrap/>
          </w:tcPr>
          <w:p w:rsidR="00447081" w:rsidRPr="005332FF" w:rsidRDefault="00447081" w:rsidP="00447081">
            <w:pPr>
              <w:pStyle w:val="TableText"/>
              <w:ind w:firstLine="176"/>
            </w:pPr>
            <w:r w:rsidRPr="005332FF">
              <w:t>VIC Murray Above</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26,504</w:t>
            </w:r>
          </w:p>
        </w:tc>
        <w:tc>
          <w:tcPr>
            <w:tcW w:w="1135" w:type="pct"/>
            <w:tcBorders>
              <w:top w:val="nil"/>
              <w:left w:val="nil"/>
              <w:bottom w:val="nil"/>
              <w:right w:val="nil"/>
            </w:tcBorders>
            <w:shd w:val="clear" w:color="auto" w:fill="auto"/>
            <w:noWrap/>
          </w:tcPr>
          <w:p w:rsidR="00447081" w:rsidRPr="00751320" w:rsidRDefault="00447081" w:rsidP="00447081">
            <w:pPr>
              <w:pStyle w:val="TableText"/>
              <w:jc w:val="right"/>
            </w:pPr>
            <w:r w:rsidRPr="00751320">
              <w:t>948</w:t>
            </w:r>
          </w:p>
        </w:tc>
        <w:tc>
          <w:tcPr>
            <w:tcW w:w="1134" w:type="pct"/>
            <w:tcBorders>
              <w:top w:val="nil"/>
              <w:left w:val="nil"/>
              <w:bottom w:val="nil"/>
              <w:right w:val="nil"/>
            </w:tcBorders>
          </w:tcPr>
          <w:p w:rsidR="00447081" w:rsidRPr="00751320" w:rsidRDefault="00447081" w:rsidP="00447081">
            <w:pPr>
              <w:pStyle w:val="TableText"/>
              <w:jc w:val="right"/>
            </w:pPr>
            <w:r w:rsidRPr="00751320">
              <w:t>0</w:t>
            </w:r>
          </w:p>
        </w:tc>
      </w:tr>
      <w:tr w:rsidR="00447081" w:rsidRPr="000D39AF" w:rsidTr="004A7A6E">
        <w:trPr>
          <w:trHeight w:val="300"/>
        </w:trPr>
        <w:tc>
          <w:tcPr>
            <w:tcW w:w="1596" w:type="pct"/>
            <w:tcBorders>
              <w:top w:val="nil"/>
              <w:left w:val="nil"/>
              <w:bottom w:val="single" w:sz="4" w:space="0" w:color="auto"/>
              <w:right w:val="nil"/>
            </w:tcBorders>
            <w:shd w:val="clear" w:color="auto" w:fill="auto"/>
            <w:noWrap/>
          </w:tcPr>
          <w:p w:rsidR="00447081" w:rsidRPr="005332FF" w:rsidRDefault="00447081" w:rsidP="00447081">
            <w:pPr>
              <w:pStyle w:val="TableText"/>
              <w:ind w:firstLine="176"/>
            </w:pPr>
            <w:r w:rsidRPr="005332FF">
              <w:t>VIC Murray Below</w:t>
            </w:r>
          </w:p>
        </w:tc>
        <w:tc>
          <w:tcPr>
            <w:tcW w:w="1135" w:type="pct"/>
            <w:tcBorders>
              <w:top w:val="nil"/>
              <w:left w:val="nil"/>
              <w:bottom w:val="single" w:sz="4" w:space="0" w:color="auto"/>
              <w:right w:val="nil"/>
            </w:tcBorders>
            <w:shd w:val="clear" w:color="auto" w:fill="auto"/>
            <w:noWrap/>
          </w:tcPr>
          <w:p w:rsidR="00447081" w:rsidRPr="00751320" w:rsidRDefault="00447081" w:rsidP="00447081">
            <w:pPr>
              <w:pStyle w:val="TableText"/>
              <w:jc w:val="right"/>
            </w:pPr>
            <w:r w:rsidRPr="00751320">
              <w:t>67,528</w:t>
            </w:r>
          </w:p>
        </w:tc>
        <w:tc>
          <w:tcPr>
            <w:tcW w:w="1135" w:type="pct"/>
            <w:tcBorders>
              <w:top w:val="nil"/>
              <w:left w:val="nil"/>
              <w:bottom w:val="single" w:sz="4" w:space="0" w:color="auto"/>
              <w:right w:val="nil"/>
            </w:tcBorders>
            <w:shd w:val="clear" w:color="auto" w:fill="auto"/>
            <w:noWrap/>
          </w:tcPr>
          <w:p w:rsidR="00447081" w:rsidRPr="00751320" w:rsidRDefault="00447081" w:rsidP="00447081">
            <w:pPr>
              <w:pStyle w:val="TableText"/>
              <w:jc w:val="right"/>
            </w:pPr>
            <w:r w:rsidRPr="00751320">
              <w:t>911</w:t>
            </w:r>
          </w:p>
        </w:tc>
        <w:tc>
          <w:tcPr>
            <w:tcW w:w="1134" w:type="pct"/>
            <w:tcBorders>
              <w:top w:val="nil"/>
              <w:left w:val="nil"/>
              <w:bottom w:val="single" w:sz="4" w:space="0" w:color="auto"/>
              <w:right w:val="nil"/>
            </w:tcBorders>
          </w:tcPr>
          <w:p w:rsidR="00447081" w:rsidRDefault="00447081" w:rsidP="00447081">
            <w:pPr>
              <w:pStyle w:val="TableText"/>
              <w:jc w:val="right"/>
            </w:pPr>
            <w:r w:rsidRPr="00751320">
              <w:t>0</w:t>
            </w:r>
          </w:p>
        </w:tc>
      </w:tr>
    </w:tbl>
    <w:p w:rsidR="00180367" w:rsidRDefault="00180367" w:rsidP="00617E04">
      <w:pPr>
        <w:pStyle w:val="FigureTableNoteSource"/>
        <w:spacing w:after="0"/>
        <w:rPr>
          <w:lang w:eastAsia="ja-JP"/>
        </w:rPr>
      </w:pPr>
    </w:p>
    <w:p w:rsidR="001A0266" w:rsidRDefault="00533D56">
      <w:pPr>
        <w:pStyle w:val="Heading2"/>
        <w:numPr>
          <w:ilvl w:val="0"/>
          <w:numId w:val="0"/>
        </w:numPr>
        <w:ind w:left="709" w:hanging="709"/>
      </w:pPr>
      <w:bookmarkStart w:id="166" w:name="_Toc430782162"/>
      <w:bookmarkStart w:id="167" w:name="_Toc34735534"/>
      <w:r>
        <w:lastRenderedPageBreak/>
        <w:t>References</w:t>
      </w:r>
      <w:bookmarkEnd w:id="166"/>
      <w:bookmarkEnd w:id="167"/>
    </w:p>
    <w:p w:rsidR="00912191" w:rsidRDefault="00912191" w:rsidP="006F7B0E">
      <w:pPr>
        <w:rPr>
          <w:lang w:eastAsia="ja-JP"/>
        </w:rPr>
      </w:pPr>
      <w:r>
        <w:rPr>
          <w:lang w:eastAsia="ja-JP"/>
        </w:rPr>
        <w:t xml:space="preserve">CSIRO 2008, </w:t>
      </w:r>
      <w:hyperlink r:id="rId31" w:history="1">
        <w:r w:rsidRPr="00912191">
          <w:rPr>
            <w:rStyle w:val="Hyperlink"/>
            <w:lang w:eastAsia="ja-JP"/>
          </w:rPr>
          <w:t>Water availability in the Murray-Darling Basin</w:t>
        </w:r>
      </w:hyperlink>
      <w:r>
        <w:rPr>
          <w:lang w:eastAsia="ja-JP"/>
        </w:rPr>
        <w:t>, A report to the Australian Government from the CSIRO Murray-Darling Basin Sustainable Yields Project, CSIRO, Canberra.</w:t>
      </w:r>
    </w:p>
    <w:p w:rsidR="006F7B0E" w:rsidRDefault="006F7B0E" w:rsidP="006F7B0E">
      <w:pPr>
        <w:rPr>
          <w:lang w:eastAsia="ja-JP"/>
        </w:rPr>
      </w:pPr>
      <w:r>
        <w:rPr>
          <w:lang w:eastAsia="ja-JP"/>
        </w:rPr>
        <w:t xml:space="preserve">DA 2019, </w:t>
      </w:r>
      <w:hyperlink r:id="rId32" w:history="1">
        <w:r w:rsidRPr="004B4664">
          <w:rPr>
            <w:rStyle w:val="Hyperlink"/>
            <w:lang w:eastAsia="ja-JP"/>
          </w:rPr>
          <w:t>Progress of water recovery</w:t>
        </w:r>
      </w:hyperlink>
      <w:r>
        <w:rPr>
          <w:lang w:eastAsia="ja-JP"/>
        </w:rPr>
        <w:t>, Department of Agriculture, Canberra.</w:t>
      </w:r>
    </w:p>
    <w:p w:rsidR="004E76E0" w:rsidRDefault="004E76E0" w:rsidP="006F7B0E">
      <w:pPr>
        <w:rPr>
          <w:lang w:eastAsia="ja-JP"/>
        </w:rPr>
      </w:pPr>
      <w:r>
        <w:rPr>
          <w:lang w:eastAsia="ja-JP"/>
        </w:rPr>
        <w:t xml:space="preserve">Dairy Australia 2017, </w:t>
      </w:r>
      <w:hyperlink r:id="rId33" w:history="1">
        <w:r w:rsidRPr="004E76E0">
          <w:rPr>
            <w:rStyle w:val="Hyperlink"/>
            <w:lang w:eastAsia="ja-JP"/>
          </w:rPr>
          <w:t>Regional irrigated land and water use mapping in the Goulburn-Murray Irrigation District</w:t>
        </w:r>
      </w:hyperlink>
      <w:r>
        <w:rPr>
          <w:lang w:eastAsia="ja-JP"/>
        </w:rPr>
        <w:t>, Dairy Australia and Murray Dairy.</w:t>
      </w:r>
    </w:p>
    <w:p w:rsidR="006F7B0E" w:rsidRDefault="006F7B0E" w:rsidP="006F7B0E">
      <w:pPr>
        <w:rPr>
          <w:lang w:eastAsia="ja-JP"/>
        </w:rPr>
      </w:pPr>
      <w:r>
        <w:rPr>
          <w:lang w:eastAsia="ja-JP"/>
        </w:rPr>
        <w:t xml:space="preserve">Gupta, M &amp; Hughes, N 2018, </w:t>
      </w:r>
      <w:hyperlink r:id="rId34" w:history="1">
        <w:r w:rsidRPr="001D59C7">
          <w:rPr>
            <w:rStyle w:val="Hyperlink"/>
            <w:lang w:eastAsia="ja-JP"/>
          </w:rPr>
          <w:t>Future scenarios for the southern Murray-Darling Basin water market</w:t>
        </w:r>
      </w:hyperlink>
      <w:r>
        <w:rPr>
          <w:lang w:eastAsia="ja-JP"/>
        </w:rPr>
        <w:t>, Australian Bureau of Agricultural and Resource Economics and Sciences, Canberra.</w:t>
      </w:r>
    </w:p>
    <w:p w:rsidR="006F7B0E" w:rsidRDefault="006F7B0E" w:rsidP="006F7B0E">
      <w:pPr>
        <w:rPr>
          <w:lang w:eastAsia="ja-JP"/>
        </w:rPr>
      </w:pPr>
      <w:r>
        <w:rPr>
          <w:lang w:eastAsia="ja-JP"/>
        </w:rPr>
        <w:t xml:space="preserve">Gupta, M, Hughes, N, &amp; Wakerman-Powell, K 2018, </w:t>
      </w:r>
      <w:hyperlink r:id="rId35" w:history="1">
        <w:r w:rsidRPr="001D59C7">
          <w:rPr>
            <w:rStyle w:val="Hyperlink"/>
            <w:lang w:eastAsia="ja-JP"/>
          </w:rPr>
          <w:t>A model of water trade and irrigation activity in the southern Murray-Darling Basin</w:t>
        </w:r>
      </w:hyperlink>
      <w:r>
        <w:rPr>
          <w:lang w:eastAsia="ja-JP"/>
        </w:rPr>
        <w:t>, Australian Bureau of Agricultural and Resource Economics and Sciences, Canberra.</w:t>
      </w:r>
    </w:p>
    <w:p w:rsidR="001A0266" w:rsidRDefault="006F7B0E" w:rsidP="006F7B0E">
      <w:r>
        <w:rPr>
          <w:lang w:eastAsia="ja-JP"/>
        </w:rPr>
        <w:t xml:space="preserve">Hughes, N, Gupta, M &amp; Rathakumar, K 2016, </w:t>
      </w:r>
      <w:hyperlink r:id="rId36" w:history="1">
        <w:r w:rsidRPr="001D59C7">
          <w:rPr>
            <w:rStyle w:val="Hyperlink"/>
            <w:lang w:eastAsia="ja-JP"/>
          </w:rPr>
          <w:t>Lessons from the water market: the southern Murray-Darling Basin water allocation market 2000–01 to 2015–16</w:t>
        </w:r>
      </w:hyperlink>
      <w:r>
        <w:rPr>
          <w:lang w:eastAsia="ja-JP"/>
        </w:rPr>
        <w:t>, Australian Bureau of Agricultural Resource Economics and Sciences, Canberra</w:t>
      </w:r>
      <w:r w:rsidR="00533D56">
        <w:t>.</w:t>
      </w:r>
    </w:p>
    <w:sectPr w:rsidR="001A026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07F" w:rsidRDefault="004D407F">
      <w:r>
        <w:separator/>
      </w:r>
    </w:p>
    <w:p w:rsidR="004D407F" w:rsidRDefault="004D407F"/>
    <w:p w:rsidR="004D407F" w:rsidRDefault="004D407F"/>
  </w:endnote>
  <w:endnote w:type="continuationSeparator" w:id="0">
    <w:p w:rsidR="004D407F" w:rsidRDefault="004D407F">
      <w:r>
        <w:continuationSeparator/>
      </w:r>
    </w:p>
    <w:p w:rsidR="004D407F" w:rsidRDefault="004D407F"/>
    <w:p w:rsidR="004D407F" w:rsidRDefault="004D407F"/>
  </w:endnote>
  <w:endnote w:type="continuationNotice" w:id="1">
    <w:p w:rsidR="004D407F" w:rsidRDefault="004D407F">
      <w:pPr>
        <w:pStyle w:val="Footer"/>
      </w:pPr>
    </w:p>
    <w:p w:rsidR="004D407F" w:rsidRDefault="004D407F"/>
    <w:p w:rsidR="004D407F" w:rsidRDefault="004D4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7F" w:rsidRDefault="004D407F">
    <w:pPr>
      <w:pStyle w:val="Footer"/>
    </w:pPr>
    <w:r>
      <w:t>ABARES</w:t>
    </w:r>
  </w:p>
  <w:p w:rsidR="004D407F" w:rsidRDefault="004D407F">
    <w:pPr>
      <w:pStyle w:val="Footer"/>
    </w:pPr>
    <w:r>
      <w:fldChar w:fldCharType="begin"/>
    </w:r>
    <w:r>
      <w:instrText xml:space="preserve"> PAGE   \* MERGEFORMAT </w:instrText>
    </w:r>
    <w:r>
      <w:fldChar w:fldCharType="separate"/>
    </w:r>
    <w:r w:rsidR="008F2E69">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07F" w:rsidRDefault="004D407F">
      <w:r>
        <w:separator/>
      </w:r>
    </w:p>
    <w:p w:rsidR="004D407F" w:rsidRDefault="004D407F"/>
    <w:p w:rsidR="004D407F" w:rsidRDefault="004D407F"/>
  </w:footnote>
  <w:footnote w:type="continuationSeparator" w:id="0">
    <w:p w:rsidR="004D407F" w:rsidRDefault="004D407F">
      <w:r>
        <w:continuationSeparator/>
      </w:r>
    </w:p>
    <w:p w:rsidR="004D407F" w:rsidRDefault="004D407F"/>
    <w:p w:rsidR="004D407F" w:rsidRDefault="004D407F"/>
  </w:footnote>
  <w:footnote w:type="continuationNotice" w:id="1">
    <w:p w:rsidR="004D407F" w:rsidRDefault="004D407F">
      <w:pPr>
        <w:pStyle w:val="Footer"/>
      </w:pPr>
    </w:p>
    <w:p w:rsidR="004D407F" w:rsidRDefault="004D407F"/>
    <w:p w:rsidR="004D407F" w:rsidRDefault="004D40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7F" w:rsidRDefault="004D407F">
    <w:pPr>
      <w:pStyle w:val="Header"/>
    </w:pPr>
    <w:r>
      <w:t>Future scenarios for the southern Murray-Darling Basin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7F" w:rsidRDefault="004D407F">
    <w:pPr>
      <w:pStyle w:val="Header"/>
      <w:jc w:val="left"/>
    </w:pPr>
    <w:r>
      <w:rPr>
        <w:noProof/>
        <w:lang w:eastAsia="en-AU"/>
      </w:rPr>
      <w:drawing>
        <wp:inline distT="0" distB="0" distL="0" distR="0" wp14:anchorId="6CC44EA3" wp14:editId="5CDC70FD">
          <wp:extent cx="2274785" cy="85196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274785" cy="8519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2DA556B"/>
    <w:multiLevelType w:val="hybridMultilevel"/>
    <w:tmpl w:val="6E3C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2"/>
  </w:num>
  <w:num w:numId="6">
    <w:abstractNumId w:val="23"/>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4"/>
  </w:num>
  <w:num w:numId="22">
    <w:abstractNumId w:val="19"/>
  </w:num>
  <w:num w:numId="23">
    <w:abstractNumId w:val="25"/>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9"/>
  </w:num>
  <w:num w:numId="29">
    <w:abstractNumId w:val="7"/>
  </w:num>
  <w:num w:numId="30">
    <w:abstractNumId w:val="20"/>
  </w:num>
  <w:num w:numId="3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1b96b92d-7448-4f2f-9b06-97b76d92cedb"/>
  </w:docVars>
  <w:rsids>
    <w:rsidRoot w:val="003413BE"/>
    <w:rsid w:val="00005583"/>
    <w:rsid w:val="0002012F"/>
    <w:rsid w:val="00044FE7"/>
    <w:rsid w:val="00097340"/>
    <w:rsid w:val="000F73A6"/>
    <w:rsid w:val="001243EA"/>
    <w:rsid w:val="00146850"/>
    <w:rsid w:val="00175114"/>
    <w:rsid w:val="001766B9"/>
    <w:rsid w:val="00180367"/>
    <w:rsid w:val="001804A4"/>
    <w:rsid w:val="001A0266"/>
    <w:rsid w:val="001A06E2"/>
    <w:rsid w:val="00216B61"/>
    <w:rsid w:val="00221164"/>
    <w:rsid w:val="002404DD"/>
    <w:rsid w:val="00266F88"/>
    <w:rsid w:val="002723F5"/>
    <w:rsid w:val="00284054"/>
    <w:rsid w:val="002A5FBA"/>
    <w:rsid w:val="002B2225"/>
    <w:rsid w:val="002F6493"/>
    <w:rsid w:val="00325924"/>
    <w:rsid w:val="00331381"/>
    <w:rsid w:val="00337771"/>
    <w:rsid w:val="003413BE"/>
    <w:rsid w:val="00372889"/>
    <w:rsid w:val="00394FAA"/>
    <w:rsid w:val="003957C3"/>
    <w:rsid w:val="00395AEF"/>
    <w:rsid w:val="003D4DF9"/>
    <w:rsid w:val="003D5810"/>
    <w:rsid w:val="003E32BA"/>
    <w:rsid w:val="004438DD"/>
    <w:rsid w:val="00447081"/>
    <w:rsid w:val="00453EFF"/>
    <w:rsid w:val="00461E52"/>
    <w:rsid w:val="00484908"/>
    <w:rsid w:val="004A4727"/>
    <w:rsid w:val="004A7A6E"/>
    <w:rsid w:val="004D407F"/>
    <w:rsid w:val="004E76E0"/>
    <w:rsid w:val="004F38B0"/>
    <w:rsid w:val="004F39A5"/>
    <w:rsid w:val="00504FB1"/>
    <w:rsid w:val="00533D56"/>
    <w:rsid w:val="00593836"/>
    <w:rsid w:val="005B6B68"/>
    <w:rsid w:val="00617E04"/>
    <w:rsid w:val="0064272E"/>
    <w:rsid w:val="00671164"/>
    <w:rsid w:val="006F7B0E"/>
    <w:rsid w:val="00703623"/>
    <w:rsid w:val="007253B5"/>
    <w:rsid w:val="00750BD4"/>
    <w:rsid w:val="00775F64"/>
    <w:rsid w:val="007774F9"/>
    <w:rsid w:val="007E3B16"/>
    <w:rsid w:val="007E7164"/>
    <w:rsid w:val="0080367B"/>
    <w:rsid w:val="00853CC8"/>
    <w:rsid w:val="00885F29"/>
    <w:rsid w:val="008A5A4B"/>
    <w:rsid w:val="008C3D24"/>
    <w:rsid w:val="008F2E69"/>
    <w:rsid w:val="00901F77"/>
    <w:rsid w:val="00912191"/>
    <w:rsid w:val="00924A44"/>
    <w:rsid w:val="00926F7E"/>
    <w:rsid w:val="009272F2"/>
    <w:rsid w:val="00967308"/>
    <w:rsid w:val="009C704B"/>
    <w:rsid w:val="009E28A6"/>
    <w:rsid w:val="00A10873"/>
    <w:rsid w:val="00A220BC"/>
    <w:rsid w:val="00A227CC"/>
    <w:rsid w:val="00A2666C"/>
    <w:rsid w:val="00A31E0F"/>
    <w:rsid w:val="00A87B5F"/>
    <w:rsid w:val="00A9732C"/>
    <w:rsid w:val="00AC1EB8"/>
    <w:rsid w:val="00AC634C"/>
    <w:rsid w:val="00AD0584"/>
    <w:rsid w:val="00AE5577"/>
    <w:rsid w:val="00AE681D"/>
    <w:rsid w:val="00AF46A9"/>
    <w:rsid w:val="00B06F88"/>
    <w:rsid w:val="00B07638"/>
    <w:rsid w:val="00B14671"/>
    <w:rsid w:val="00B300A5"/>
    <w:rsid w:val="00B31AAC"/>
    <w:rsid w:val="00B327D1"/>
    <w:rsid w:val="00B6238B"/>
    <w:rsid w:val="00BD0F1E"/>
    <w:rsid w:val="00BE7111"/>
    <w:rsid w:val="00C36D89"/>
    <w:rsid w:val="00C41119"/>
    <w:rsid w:val="00C629A3"/>
    <w:rsid w:val="00C62B0C"/>
    <w:rsid w:val="00CB735C"/>
    <w:rsid w:val="00CE11A6"/>
    <w:rsid w:val="00CE5669"/>
    <w:rsid w:val="00CF0271"/>
    <w:rsid w:val="00D47493"/>
    <w:rsid w:val="00D507CA"/>
    <w:rsid w:val="00D54E8D"/>
    <w:rsid w:val="00D60C58"/>
    <w:rsid w:val="00D84874"/>
    <w:rsid w:val="00DE5280"/>
    <w:rsid w:val="00DF75D8"/>
    <w:rsid w:val="00E04471"/>
    <w:rsid w:val="00ED117D"/>
    <w:rsid w:val="00ED3703"/>
    <w:rsid w:val="00EE2971"/>
    <w:rsid w:val="00F2535E"/>
    <w:rsid w:val="00F43BA0"/>
    <w:rsid w:val="00FD0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76A6F728-0B11-42DB-8DCD-757DFFF01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character" w:customStyle="1" w:styleId="article-headermeta-info-data">
    <w:name w:val="article-header__meta-info-data"/>
    <w:basedOn w:val="DefaultParagraphFont"/>
    <w:rsid w:val="00CE5669"/>
  </w:style>
  <w:style w:type="paragraph" w:styleId="ListParagraph">
    <w:name w:val="List Paragraph"/>
    <w:basedOn w:val="Normal"/>
    <w:uiPriority w:val="99"/>
    <w:qFormat/>
    <w:rsid w:val="00AE681D"/>
    <w:pPr>
      <w:ind w:left="720"/>
      <w:contextualSpacing/>
    </w:pPr>
  </w:style>
  <w:style w:type="paragraph" w:styleId="BodyText">
    <w:name w:val="Body Text"/>
    <w:basedOn w:val="Normal"/>
    <w:link w:val="BodyTextChar"/>
    <w:uiPriority w:val="99"/>
    <w:unhideWhenUsed/>
    <w:qFormat/>
    <w:rsid w:val="002723F5"/>
    <w:pPr>
      <w:spacing w:after="120" w:line="280" w:lineRule="atLeast"/>
    </w:pPr>
    <w:rPr>
      <w:rFonts w:eastAsia="Calibri" w:cs="Times New Roman"/>
      <w:color w:val="000000" w:themeColor="text1"/>
    </w:rPr>
  </w:style>
  <w:style w:type="character" w:customStyle="1" w:styleId="BodyTextChar">
    <w:name w:val="Body Text Char"/>
    <w:basedOn w:val="DefaultParagraphFont"/>
    <w:link w:val="BodyText"/>
    <w:uiPriority w:val="99"/>
    <w:rsid w:val="002723F5"/>
    <w:rPr>
      <w:rFonts w:eastAsia="Calibr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agriculture.gov.au/abares/research-topics/water/future-scenarios-smdb"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basin-socio-economic.com.au/" TargetMode="External"/><Relationship Id="rId25" Type="http://schemas.openxmlformats.org/officeDocument/2006/relationships/image" Target="media/image8.png"/><Relationship Id="rId33" Type="http://schemas.openxmlformats.org/officeDocument/2006/relationships/hyperlink" Target="https://www.gbcma.vic.gov.au/downloads/CatchmentEconomy/RILWUM_DairyEvaluationFinal2017_LowRes.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agriculture.gov.au/water/mdb/progress-recovery/progress-of-water-recovery"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25814/5e5c8daaa823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mdba.gov.au/sites/default/files/pubs/ABARES-lessons-water-market-report-14-15_0.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publications.csiro.au/rpr/download?pid=legacy:530&amp;dsid=DS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agriculture.gov.au/sites/default/files/abares/documents/research-topics/water/a-model-of-water-trade-irrigat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pta%20mihir\Downloads\ABARES%20report%20template%20-%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CEBD2DB8159040895FBE27E857E833" ma:contentTypeVersion="1" ma:contentTypeDescription="Create a new document." ma:contentTypeScope="" ma:versionID="5eb7a8af3500e60e6a056b3ad83819b9">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AF80B499-0A4B-4977-94FD-88E792613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BE67A0D-313E-4280-9C00-27A2C6C6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ABARES report template - 2020.dotx</Template>
  <TotalTime>240</TotalTime>
  <Pages>28</Pages>
  <Words>7877</Words>
  <Characters>44905</Characters>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52677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2020-03-12T23:04:00Z</cp:lastPrinted>
  <dcterms:created xsi:type="dcterms:W3CDTF">2020-03-09T23:58:00Z</dcterms:created>
  <dcterms:modified xsi:type="dcterms:W3CDTF">2020-03-12T23:20:00Z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0x0101006FCEBD2DB8159040895FBE27E857E833</vt:lpwstr>
  </property>
</Properties>
</file>